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/>
        <w:spacing w:line="360" w:lineRule="auto"/>
        <w:jc w:val="center"/>
        <w:rPr>
          <w:rFonts w:hint="eastAsia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52"/>
          <w:highlight w:val="none"/>
        </w:rPr>
      </w:pPr>
      <w:r>
        <w:rPr>
          <w:rFonts w:hint="eastAsia" w:ascii="黑体" w:hAnsi="黑体" w:eastAsia="黑体"/>
          <w:sz w:val="52"/>
          <w:highlight w:val="none"/>
        </w:rPr>
        <w:t>安信</w:t>
      </w:r>
      <w:r>
        <w:rPr>
          <w:rFonts w:ascii="黑体" w:hAnsi="黑体" w:eastAsia="黑体"/>
          <w:sz w:val="52"/>
          <w:highlight w:val="none"/>
        </w:rPr>
        <w:t>基金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52"/>
          <w:highlight w:val="none"/>
        </w:rPr>
      </w:pPr>
      <w:r>
        <w:rPr>
          <w:rFonts w:hint="eastAsia" w:ascii="黑体" w:hAnsi="黑体" w:eastAsia="黑体"/>
          <w:sz w:val="52"/>
          <w:highlight w:val="none"/>
        </w:rPr>
        <w:t>产品生命周期</w:t>
      </w:r>
      <w:r>
        <w:rPr>
          <w:rFonts w:ascii="黑体" w:hAnsi="黑体" w:eastAsia="黑体"/>
          <w:sz w:val="52"/>
          <w:highlight w:val="none"/>
        </w:rPr>
        <w:t>系统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40"/>
          <w:highlight w:val="none"/>
        </w:rPr>
      </w:pPr>
      <w:r>
        <w:rPr>
          <w:rFonts w:hint="eastAsia" w:ascii="黑体" w:hAnsi="黑体" w:eastAsia="黑体"/>
          <w:sz w:val="40"/>
          <w:highlight w:val="none"/>
        </w:rPr>
        <w:t>（操作手册）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44"/>
          <w:highlight w:val="none"/>
        </w:rPr>
      </w:pPr>
    </w:p>
    <w:p>
      <w:pPr>
        <w:shd w:val="clear"/>
        <w:spacing w:line="360" w:lineRule="auto"/>
        <w:jc w:val="center"/>
        <w:rPr>
          <w:rFonts w:ascii="黑体" w:hAnsi="黑体" w:eastAsia="黑体"/>
          <w:sz w:val="24"/>
          <w:highlight w:val="none"/>
        </w:rPr>
      </w:pPr>
      <w:r>
        <w:rPr>
          <w:rFonts w:hint="eastAsia" w:ascii="黑体" w:hAnsi="黑体" w:eastAsia="黑体"/>
          <w:sz w:val="28"/>
          <w:highlight w:val="none"/>
        </w:rPr>
        <w:t>201</w:t>
      </w:r>
      <w:r>
        <w:rPr>
          <w:rFonts w:hint="eastAsia" w:ascii="黑体" w:hAnsi="黑体" w:eastAsia="黑体"/>
          <w:sz w:val="28"/>
          <w:highlight w:val="none"/>
          <w:lang w:val="en-US" w:eastAsia="zh-CN"/>
        </w:rPr>
        <w:t>8</w:t>
      </w:r>
      <w:r>
        <w:rPr>
          <w:rFonts w:hint="eastAsia" w:ascii="黑体" w:hAnsi="黑体" w:eastAsia="黑体"/>
          <w:sz w:val="28"/>
          <w:highlight w:val="none"/>
        </w:rPr>
        <w:t>年</w:t>
      </w:r>
      <w:r>
        <w:rPr>
          <w:rFonts w:hint="eastAsia" w:ascii="黑体" w:hAnsi="黑体" w:eastAsia="黑体"/>
          <w:sz w:val="28"/>
          <w:highlight w:val="none"/>
          <w:lang w:val="en-US" w:eastAsia="zh-CN"/>
        </w:rPr>
        <w:t>01</w:t>
      </w:r>
      <w:r>
        <w:rPr>
          <w:rFonts w:hint="eastAsia" w:ascii="黑体" w:hAnsi="黑体" w:eastAsia="黑体"/>
          <w:sz w:val="28"/>
          <w:highlight w:val="none"/>
        </w:rPr>
        <w:t>月</w:t>
      </w:r>
    </w:p>
    <w:p>
      <w:pPr>
        <w:shd w:val="clear"/>
        <w:spacing w:line="360" w:lineRule="auto"/>
        <w:jc w:val="center"/>
        <w:rPr>
          <w:rFonts w:ascii="黑体" w:hAnsi="黑体" w:eastAsia="黑体"/>
          <w:sz w:val="28"/>
          <w:highlight w:val="none"/>
        </w:rPr>
      </w:pPr>
      <w:r>
        <w:rPr>
          <w:rFonts w:hint="eastAsia" w:ascii="黑体" w:hAnsi="黑体" w:eastAsia="黑体"/>
          <w:sz w:val="28"/>
          <w:highlight w:val="none"/>
        </w:rPr>
        <w:t>深圳市</w:t>
      </w:r>
      <w:r>
        <w:rPr>
          <w:rFonts w:ascii="黑体" w:hAnsi="黑体" w:eastAsia="黑体"/>
          <w:sz w:val="28"/>
          <w:highlight w:val="none"/>
        </w:rPr>
        <w:t>赢时胜信息技术股份有限公司</w:t>
      </w:r>
    </w:p>
    <w:p>
      <w:pPr>
        <w:shd w:val="clear"/>
        <w:spacing w:line="360" w:lineRule="auto"/>
        <w:jc w:val="center"/>
        <w:rPr>
          <w:rFonts w:hint="eastAsia" w:ascii="黑体" w:hAnsi="黑体" w:eastAsia="黑体"/>
          <w:sz w:val="28"/>
          <w:highlight w:val="none"/>
          <w:lang w:eastAsia="zh-CN"/>
        </w:rPr>
      </w:pPr>
      <w:r>
        <w:rPr>
          <w:rFonts w:ascii="黑体" w:hAnsi="黑体" w:eastAsia="黑体"/>
          <w:sz w:val="28"/>
          <w:highlight w:val="none"/>
        </w:rPr>
        <w:br w:type="page"/>
      </w:r>
      <w:r>
        <w:rPr>
          <w:rFonts w:hint="eastAsia" w:ascii="黑体" w:hAnsi="黑体" w:eastAsia="黑体"/>
          <w:sz w:val="28"/>
          <w:highlight w:val="none"/>
          <w:lang w:eastAsia="zh-CN"/>
        </w:rPr>
        <w:t>目录</w:t>
      </w:r>
    </w:p>
    <w:sdt>
      <w:sdtPr>
        <w:rPr>
          <w:rFonts w:ascii="宋体" w:hAnsi="宋体" w:eastAsia="宋体"/>
          <w:sz w:val="21"/>
        </w:rPr>
        <w:id w:val="147472300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sz w:val="20"/>
          <w:szCs w:val="20"/>
        </w:rPr>
      </w:sdtEndPr>
      <w:sdtContent>
        <w:p>
          <w:pPr>
            <w:jc w:val="center"/>
          </w:pP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_Toc30456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3ae68273-e267-40db-8fae-eeeaeebc2c2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1. </w:t>
              </w:r>
              <w:r>
                <w:rPr>
                  <w:rFonts w:hint="eastAsia" w:asciiTheme="minorAscii" w:hAnsiTheme="minorAscii" w:eastAsiaTheme="minorEastAsia" w:cstheme="minorBidi"/>
                </w:rPr>
                <w:t>引言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_Toc14502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1e8f0532-54b7-4050-aabf-ed03283ce2a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1.1. </w:t>
              </w:r>
              <w:r>
                <w:rPr>
                  <w:rFonts w:hint="eastAsia" w:asciiTheme="majorAscii" w:hAnsiTheme="majorAscii" w:eastAsiaTheme="majorEastAsia" w:cstheme="majorBidi"/>
                </w:rPr>
                <w:t>目的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_Toc13769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31a5af0a-6d98-4f74-bc17-7d00b21fb1a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1.2. </w:t>
              </w:r>
              <w:r>
                <w:rPr>
                  <w:rFonts w:hint="eastAsia" w:asciiTheme="majorAscii" w:hAnsiTheme="majorAscii" w:eastAsiaTheme="majorEastAsia" w:cstheme="majorBidi"/>
                </w:rPr>
                <w:t>使用用户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_Toc7259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041f92ed-c0ee-4370-8835-93d94992436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2. </w:t>
              </w:r>
              <w:r>
                <w:rPr>
                  <w:rFonts w:hint="eastAsia" w:asciiTheme="minorAscii" w:hAnsiTheme="minorAscii" w:eastAsiaTheme="minorEastAsia" w:cstheme="minorBidi"/>
                </w:rPr>
                <w:t>功能列表</w:t>
              </w:r>
            </w:sdtContent>
          </w:sdt>
          <w:r>
            <w:tab/>
          </w:r>
          <w:r>
            <w:t>6</w:t>
          </w:r>
          <w: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_Toc16735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c22cdf2e-18dc-4225-82de-2665286dd4e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3. </w:t>
              </w:r>
              <w:r>
                <w:rPr>
                  <w:rFonts w:hint="eastAsia" w:asciiTheme="minorAscii" w:hAnsiTheme="minorAscii" w:eastAsiaTheme="minorEastAsia" w:cstheme="minorBidi"/>
                </w:rPr>
                <w:t>系统登录</w:t>
              </w:r>
            </w:sdtContent>
          </w:sdt>
          <w:r>
            <w:tab/>
          </w:r>
          <w:r>
            <w:t>8</w:t>
          </w:r>
          <w: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_Toc17786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30b06b98-0897-4bf1-a620-f6d948d546f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产品管理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_Toc9931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9b1ac4b3-9b6d-4735-922f-80a65812350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4.1. </w:t>
              </w:r>
              <w:r>
                <w:rPr>
                  <w:rFonts w:hint="eastAsia" w:asciiTheme="majorAscii" w:hAnsiTheme="majorAscii" w:eastAsiaTheme="majorEastAsia" w:cstheme="majorBidi"/>
                </w:rPr>
                <w:t>公募基金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_Toc14772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fe4c74cf-8cc4-4fd1-b75e-5312515bc07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4.1.1. </w:t>
              </w:r>
              <w:r>
                <w:rPr>
                  <w:rFonts w:hint="eastAsia" w:asciiTheme="minorAscii" w:hAnsiTheme="minorAscii" w:eastAsiaTheme="minorEastAsia" w:cstheme="minorBidi"/>
                </w:rPr>
                <w:t>公募基金主界面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_Toc26636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f2409196-a4bf-4e0f-852a-32f479c7227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4.1.2. </w:t>
              </w:r>
              <w:r>
                <w:rPr>
                  <w:rFonts w:hint="eastAsia" w:asciiTheme="minorAscii" w:hAnsiTheme="minorAscii" w:eastAsiaTheme="minorEastAsia" w:cstheme="minorBidi"/>
                </w:rPr>
                <w:t>公募基金维护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_Toc20912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660ca072-5bc7-453d-b5da-d94e410024c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4.2. </w:t>
              </w:r>
              <w:r>
                <w:rPr>
                  <w:rFonts w:hint="eastAsia" w:asciiTheme="majorAscii" w:hAnsiTheme="majorAscii" w:eastAsiaTheme="majorEastAsia" w:cstheme="majorBidi"/>
                </w:rPr>
                <w:t>专户产品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_Toc22223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13bffdab-1ec4-4c90-8186-11a0a4310e7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4.2.1. </w:t>
              </w:r>
              <w:r>
                <w:rPr>
                  <w:rFonts w:hint="eastAsia" w:asciiTheme="minorAscii" w:hAnsiTheme="minorAscii" w:eastAsiaTheme="minorEastAsia" w:cstheme="minorBidi"/>
                </w:rPr>
                <w:t>专户产品主界面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_Toc3115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30d66071-6274-4f36-b41a-4ded868a380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4.2.2. </w:t>
              </w:r>
              <w:r>
                <w:rPr>
                  <w:rFonts w:hint="eastAsia" w:asciiTheme="minorAscii" w:hAnsiTheme="minorAscii" w:eastAsiaTheme="minorEastAsia" w:cstheme="minorBidi"/>
                </w:rPr>
                <w:t>专户产品维护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_Toc18391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5c08fdbc-e130-41b3-8d34-a8c4a5cd093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4.3.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产品分级信息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_Toc11284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65a7dff2-73f2-48d9-82f6-fafc215565e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4.3.1.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产品分级信息主界面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_Toc25336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39d3e56e-74b7-4592-a2b5-a245f19890d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4.3.2.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产品分级信息维护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_Toc28707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783d0ce9-4731-48d3-9e61-96a4b63b473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5. </w:t>
              </w:r>
              <w:r>
                <w:rPr>
                  <w:rFonts w:hint="eastAsia" w:asciiTheme="minorAscii" w:hAnsiTheme="minorAscii" w:eastAsiaTheme="minorEastAsia" w:cstheme="minorBidi"/>
                </w:rPr>
                <w:t>账户管理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_Toc19971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a243e406-c1e8-4586-89a1-5bf10acc653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 </w:t>
              </w:r>
              <w:r>
                <w:rPr>
                  <w:rFonts w:hint="eastAsia" w:asciiTheme="minorAscii" w:hAnsiTheme="minorAscii" w:eastAsiaTheme="minorEastAsia" w:cstheme="minorBidi"/>
                </w:rPr>
                <w:t>公共功能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_Toc30238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8f1dcd95-ffbf-4288-85d0-d230c77dc23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6.1. </w:t>
              </w:r>
              <w:r>
                <w:rPr>
                  <w:rFonts w:hint="eastAsia" w:asciiTheme="majorAscii" w:hAnsiTheme="majorAscii" w:eastAsiaTheme="majorEastAsia" w:cstheme="majorBidi"/>
                </w:rPr>
                <w:t>产品干系人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_Toc13959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f3e9ea23-3684-4a5e-94da-b307b62f388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6.1.1.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产品干系人主界面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_Toc3083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bdb0ace7-ab03-4417-b1f3-b88a09d52ce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6.1.2. </w:t>
              </w:r>
              <w:r>
                <w:rPr>
                  <w:rFonts w:hint="eastAsia" w:asciiTheme="minorAscii" w:hAnsiTheme="minorAscii" w:eastAsiaTheme="minorEastAsia" w:cstheme="minorBidi"/>
                </w:rPr>
                <w:t>基金经理/基金经理助理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_Toc17527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276c6693-153d-4e4c-be07-543462265a7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6.1.3. </w:t>
              </w:r>
              <w:r>
                <w:rPr>
                  <w:rFonts w:hint="eastAsia" w:asciiTheme="minorAscii" w:hAnsiTheme="minorAscii" w:eastAsiaTheme="minorEastAsia" w:cstheme="minorBidi"/>
                </w:rPr>
                <w:t>内部干系人</w:t>
              </w:r>
            </w:sdtContent>
          </w:sdt>
          <w:r>
            <w:tab/>
          </w:r>
          <w:r>
            <w:t>58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_Toc14524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52c56180-e0a1-462a-83c4-6948e1304e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6.1.4.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外部干系人维护</w:t>
              </w:r>
            </w:sdtContent>
          </w:sdt>
          <w:r>
            <w:tab/>
          </w:r>
          <w:r>
            <w:t>60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_Toc27134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1cdba8b8-43d7-451a-80a7-1d9b96bb74f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6.2. </w:t>
              </w:r>
              <w:r>
                <w:rPr>
                  <w:rFonts w:hint="eastAsia" w:asciiTheme="majorAscii" w:hAnsiTheme="majorAscii" w:eastAsiaTheme="majorEastAsia" w:cstheme="majorBidi"/>
                </w:rPr>
                <w:t>投研人员管理</w:t>
              </w:r>
            </w:sdtContent>
          </w:sdt>
          <w:r>
            <w:tab/>
          </w:r>
          <w:r>
            <w:t>62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_Toc14322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68f87309-c36d-4584-afa6-60d155d2b53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6.2.1.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投研人员管理主界面</w:t>
              </w:r>
            </w:sdtContent>
          </w:sdt>
          <w:r>
            <w:tab/>
          </w:r>
          <w:r>
            <w:t>62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_Toc17690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ef35e775-3529-47f4-a0b4-4fdcaa2aed1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6.2.2.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投研人员信息维护</w:t>
              </w:r>
            </w:sdtContent>
          </w:sdt>
          <w:r>
            <w:tab/>
          </w:r>
          <w:r>
            <w:t>63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_Toc9224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77652d0d-5120-4610-9d6b-60b6849ca62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6.2.3. </w:t>
              </w:r>
              <w:r>
                <w:rPr>
                  <w:rFonts w:hint="eastAsia" w:asciiTheme="minorAscii" w:hAnsiTheme="minorAscii" w:eastAsiaTheme="minorEastAsia" w:cstheme="minorBidi"/>
                </w:rPr>
                <w:t>投研人员查看详情</w:t>
              </w:r>
            </w:sdtContent>
          </w:sdt>
          <w:r>
            <w:tab/>
          </w:r>
          <w:r>
            <w:t>66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_Toc29121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078abfab-1495-44a0-ab58-df9868d829d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6.3. </w:t>
              </w:r>
              <w:r>
                <w:rPr>
                  <w:rFonts w:hint="eastAsia" w:asciiTheme="majorAscii" w:hAnsiTheme="majorAscii" w:eastAsiaTheme="majorEastAsia" w:cstheme="majorBidi"/>
                </w:rPr>
                <w:t>外部人员管理</w:t>
              </w:r>
            </w:sdtContent>
          </w:sdt>
          <w:r>
            <w:tab/>
          </w:r>
          <w:r>
            <w:t>67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_Toc4086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09dbd824-6770-46a2-9068-c1c4ae1bac1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6.3.1.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外部人员管理主界面</w:t>
              </w:r>
            </w:sdtContent>
          </w:sdt>
          <w:r>
            <w:tab/>
          </w:r>
          <w:r>
            <w:t>67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_Toc2661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243a331f-aad6-461c-a7b9-52d7aac912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6.3.2. </w:t>
              </w:r>
              <w:r>
                <w:rPr>
                  <w:rFonts w:hint="eastAsia" w:asciiTheme="minorAscii" w:hAnsiTheme="minorAscii" w:eastAsiaTheme="minorEastAsia" w:cstheme="minorBidi"/>
                </w:rPr>
                <w:t>外部人员信息维护</w:t>
              </w:r>
            </w:sdtContent>
          </w:sdt>
          <w:r>
            <w:tab/>
          </w:r>
          <w:r>
            <w:t>69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_Toc6755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e191589e-01fa-4605-90e7-a93ca78fd2f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6.4. </w:t>
              </w:r>
              <w:r>
                <w:rPr>
                  <w:rFonts w:hint="eastAsia" w:asciiTheme="majorAscii" w:hAnsiTheme="majorAscii" w:eastAsiaTheme="majorEastAsia" w:cstheme="majorBidi"/>
                </w:rPr>
                <w:t>重大事项揭示</w:t>
              </w:r>
            </w:sdtContent>
          </w:sdt>
          <w:r>
            <w:tab/>
          </w:r>
          <w:r>
            <w:t>70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_Toc12605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df7382b8-1b64-48c7-831c-ea861175cbd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6.4.1. </w:t>
              </w:r>
              <w:r>
                <w:rPr>
                  <w:rFonts w:hint="eastAsia" w:asciiTheme="minorAscii" w:hAnsiTheme="minorAscii" w:eastAsiaTheme="minorEastAsia" w:cstheme="minorBidi"/>
                </w:rPr>
                <w:t>重大事项揭示主界面</w:t>
              </w:r>
            </w:sdtContent>
          </w:sdt>
          <w:r>
            <w:tab/>
          </w:r>
          <w:r>
            <w:t>70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_Toc2595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fb7f7a30-0be8-48f2-a512-33c23e0ea6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6.4.2. </w:t>
              </w:r>
              <w:r>
                <w:rPr>
                  <w:rFonts w:hint="eastAsia" w:asciiTheme="minorAscii" w:hAnsiTheme="minorAscii" w:eastAsiaTheme="minorEastAsia" w:cstheme="minorBidi"/>
                </w:rPr>
                <w:t>重大事项揭示信息维护</w:t>
              </w:r>
            </w:sdtContent>
          </w:sdt>
          <w:r>
            <w:tab/>
          </w:r>
          <w:r>
            <w:t>71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_Toc4419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20d408f2-392e-474a-96b8-ca07989060a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6.5. </w:t>
              </w:r>
              <w:r>
                <w:rPr>
                  <w:rFonts w:hint="eastAsia" w:asciiTheme="majorAscii" w:hAnsiTheme="majorAscii" w:eastAsiaTheme="majorEastAsia" w:cstheme="majorBidi"/>
                </w:rPr>
                <w:t>主体信息</w:t>
              </w:r>
            </w:sdtContent>
          </w:sdt>
          <w:r>
            <w:tab/>
          </w:r>
          <w:r>
            <w:t>73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_Toc18397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5a72f8dc-0f83-4a86-af04-3e293b19ea3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6.5.1. </w:t>
              </w:r>
              <w:r>
                <w:rPr>
                  <w:rFonts w:hint="eastAsia" w:asciiTheme="minorAscii" w:hAnsiTheme="minorAscii" w:eastAsiaTheme="minorEastAsia" w:cstheme="minorBidi"/>
                </w:rPr>
                <w:t>主体信息主界面</w:t>
              </w:r>
            </w:sdtContent>
          </w:sdt>
          <w:r>
            <w:tab/>
          </w:r>
          <w:r>
            <w:t>73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_Toc31695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6abed039-e857-4470-bbb9-ef5b85d078f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6.5.2. </w:t>
              </w:r>
              <w:r>
                <w:rPr>
                  <w:rFonts w:hint="eastAsia" w:asciiTheme="minorAscii" w:hAnsiTheme="minorAscii" w:eastAsiaTheme="minorEastAsia" w:cstheme="minorBidi"/>
                </w:rPr>
                <w:t>主体信息维护</w:t>
              </w:r>
            </w:sdtContent>
          </w:sdt>
          <w:r>
            <w:tab/>
          </w:r>
          <w:r>
            <w:t>74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_Toc26029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9bca802b-fba2-4aaf-9ebc-c8d16277df8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6.5.3. </w:t>
              </w:r>
              <w:r>
                <w:rPr>
                  <w:rFonts w:hint="eastAsia" w:asciiTheme="minorAscii" w:hAnsiTheme="minorAscii" w:eastAsiaTheme="minorEastAsia" w:cstheme="minorBidi"/>
                </w:rPr>
                <w:t>高管信息维护</w:t>
              </w:r>
            </w:sdtContent>
          </w:sdt>
          <w:r>
            <w:tab/>
          </w:r>
          <w:r>
            <w:t>76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_Toc12323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eed12467-1369-45cc-87da-91006b1287c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6.5.4. </w:t>
              </w:r>
              <w:r>
                <w:rPr>
                  <w:rFonts w:hint="eastAsia" w:asciiTheme="minorAscii" w:hAnsiTheme="minorAscii" w:eastAsiaTheme="minorEastAsia" w:cstheme="minorBidi"/>
                </w:rPr>
                <w:t>股权结构信息维护</w:t>
              </w:r>
            </w:sdtContent>
          </w:sdt>
          <w:r>
            <w:tab/>
          </w:r>
          <w:r>
            <w:t>78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_Toc11514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dbd08b20-ec7e-48a3-b506-7b101947c6c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6.6. </w:t>
              </w:r>
              <w:r>
                <w:rPr>
                  <w:rFonts w:hint="eastAsia" w:asciiTheme="majorAscii" w:hAnsiTheme="majorAscii" w:eastAsiaTheme="majorEastAsia" w:cstheme="majorBidi"/>
                </w:rPr>
                <w:t>审计机构</w:t>
              </w:r>
            </w:sdtContent>
          </w:sdt>
          <w:r>
            <w:tab/>
          </w:r>
          <w:r>
            <w:t>79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_Toc1147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ce1b8d0f-46b3-4276-8153-5fb769989d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6.6.1.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审计机构主界面</w:t>
              </w:r>
            </w:sdtContent>
          </w:sdt>
          <w:r>
            <w:tab/>
          </w:r>
          <w:r>
            <w:t>79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_Toc11226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9b85a94e-4d77-441f-b1a1-58c0e80b80b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6.6.2. </w:t>
              </w:r>
              <w:r>
                <w:rPr>
                  <w:rFonts w:hint="eastAsia" w:asciiTheme="minorAscii" w:hAnsiTheme="minorAscii" w:eastAsiaTheme="minorEastAsia" w:cstheme="minorBidi"/>
                </w:rPr>
                <w:t>审计机构维护</w:t>
              </w:r>
            </w:sdtContent>
          </w:sdt>
          <w:r>
            <w:tab/>
          </w:r>
          <w:r>
            <w:t>81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_Toc9292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1509913e-111c-44ee-82e1-0e700ce90ca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6.6.3. </w:t>
              </w:r>
              <w:r>
                <w:rPr>
                  <w:rFonts w:hint="eastAsia" w:asciiTheme="minorAscii" w:hAnsiTheme="minorAscii" w:eastAsiaTheme="minorEastAsia" w:cstheme="minorBidi"/>
                  <w:lang w:eastAsia="zh-CN"/>
                </w:rPr>
                <w:t>审计</w:t>
              </w:r>
              <w:r>
                <w:rPr>
                  <w:rFonts w:hint="eastAsia" w:asciiTheme="minorAscii" w:hAnsiTheme="minorAscii" w:eastAsiaTheme="minorEastAsia" w:cstheme="minorBidi"/>
                </w:rPr>
                <w:t>产品</w:t>
              </w:r>
              <w:r>
                <w:rPr>
                  <w:rFonts w:hint="eastAsia" w:asciiTheme="minorAscii" w:hAnsiTheme="minorAscii" w:eastAsiaTheme="minorEastAsia" w:cstheme="minorBidi"/>
                  <w:lang w:eastAsia="zh-CN"/>
                </w:rPr>
                <w:t>管理</w:t>
              </w:r>
            </w:sdtContent>
          </w:sdt>
          <w:r>
            <w:tab/>
          </w:r>
          <w:r>
            <w:t>83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_Toc18103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49b22854-2083-471a-ad0f-db4943df3f8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6.6.4. </w:t>
              </w:r>
              <w:r>
                <w:rPr>
                  <w:rFonts w:hint="eastAsia" w:asciiTheme="minorAscii" w:hAnsiTheme="minorAscii" w:eastAsiaTheme="minorEastAsia" w:cstheme="minorBidi"/>
                  <w:lang w:eastAsia="zh-CN"/>
                </w:rPr>
                <w:t>审计费用管理</w:t>
              </w:r>
            </w:sdtContent>
          </w:sdt>
          <w:r>
            <w:tab/>
          </w:r>
          <w:r>
            <w:t>83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_Toc30176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4b0dbd32-4b0f-4454-b39b-94836410cc2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6.7. </w:t>
              </w:r>
              <w:r>
                <w:rPr>
                  <w:rFonts w:hint="eastAsia" w:asciiTheme="majorAscii" w:hAnsiTheme="majorAscii" w:eastAsiaTheme="majorEastAsia" w:cstheme="majorBidi"/>
                </w:rPr>
                <w:t>销售机构</w:t>
              </w:r>
            </w:sdtContent>
          </w:sdt>
          <w:r>
            <w:tab/>
          </w:r>
          <w:r>
            <w:t>84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_Toc14363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5c1d741b-3698-4460-b73f-365dd42411d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6.7.1.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销售机构主界面</w:t>
              </w:r>
            </w:sdtContent>
          </w:sdt>
          <w:r>
            <w:tab/>
          </w:r>
          <w:r>
            <w:t>84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_Toc2417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4"/>
              <w:placeholder>
                <w:docPart w:val="{745c44b8-3f19-44bd-952d-9f6d9f9ca6b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6.7.2.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销售机构维护</w:t>
              </w:r>
            </w:sdtContent>
          </w:sdt>
          <w:r>
            <w:tab/>
          </w:r>
          <w:r>
            <w:t>85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_Toc30664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d9d19ab0-b5d7-4b4f-90ff-3e985d06d51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6.7.3.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销售协议维护</w:t>
              </w:r>
            </w:sdtContent>
          </w:sdt>
          <w:r>
            <w:tab/>
          </w:r>
          <w:r>
            <w:t>87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_Toc25250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193ad5c5-0b67-4a81-b110-11ae8b13767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6.7.4. </w:t>
              </w:r>
              <w:r>
                <w:rPr>
                  <w:rFonts w:hint="eastAsia" w:asciiTheme="minorAscii" w:hAnsiTheme="minorAscii" w:eastAsiaTheme="minorEastAsia" w:cstheme="minorBidi"/>
                </w:rPr>
                <w:t>产品绑定</w:t>
              </w:r>
            </w:sdtContent>
          </w:sdt>
          <w:r>
            <w:tab/>
          </w:r>
          <w:r>
            <w:t>90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_Toc31634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a49100d0-f00c-4533-9f81-4a2401fa2fd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6.7.5. </w:t>
              </w:r>
              <w:r>
                <w:rPr>
                  <w:rFonts w:hint="eastAsia" w:asciiTheme="minorAscii" w:hAnsiTheme="minorAscii" w:eastAsiaTheme="minorEastAsia" w:cstheme="minorBidi"/>
                </w:rPr>
                <w:t>接口参数维护</w:t>
              </w:r>
            </w:sdtContent>
          </w:sdt>
          <w:r>
            <w:tab/>
          </w:r>
          <w:r>
            <w:t>91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_Toc31323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cae2f4cd-dd51-48c5-af61-7529ea04fbf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6.7.6. </w:t>
              </w:r>
              <w:r>
                <w:rPr>
                  <w:rFonts w:hint="eastAsia" w:asciiTheme="minorAscii" w:hAnsiTheme="minorAscii" w:eastAsiaTheme="minorEastAsia" w:cstheme="minorBidi"/>
                </w:rPr>
                <w:t>销售商账户维护</w:t>
              </w:r>
            </w:sdtContent>
          </w:sdt>
          <w:r>
            <w:tab/>
          </w:r>
          <w:r>
            <w:t>93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_Toc27049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c865f3d5-2b22-4003-ae45-8709609643d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6.8. </w:t>
              </w:r>
              <w:r>
                <w:rPr>
                  <w:rFonts w:hint="eastAsia" w:asciiTheme="majorAscii" w:hAnsiTheme="majorAscii" w:eastAsiaTheme="majorEastAsia" w:cstheme="majorBidi"/>
                </w:rPr>
                <w:t>合同信息管理</w:t>
              </w:r>
            </w:sdtContent>
          </w:sdt>
          <w:r>
            <w:tab/>
          </w:r>
          <w:r>
            <w:t>94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_Toc16240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426b65f2-2b53-499e-b4dd-a14b55ad9a5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6.8.1. </w:t>
              </w:r>
              <w:r>
                <w:rPr>
                  <w:rFonts w:hint="eastAsia" w:asciiTheme="minorAscii" w:hAnsiTheme="minorAscii" w:eastAsiaTheme="minorEastAsia" w:cstheme="minorBidi"/>
                </w:rPr>
                <w:t>合同信息主界面</w:t>
              </w:r>
            </w:sdtContent>
          </w:sdt>
          <w:r>
            <w:tab/>
          </w:r>
          <w:r>
            <w:t>94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_Toc24309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64083c7c-a88b-4b3c-b87e-f0c9ed13377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6.8.2. </w:t>
              </w:r>
              <w:r>
                <w:rPr>
                  <w:rFonts w:hint="eastAsia" w:asciiTheme="minorAscii" w:hAnsiTheme="minorAscii" w:eastAsiaTheme="minorEastAsia" w:cstheme="minorBidi"/>
                </w:rPr>
                <w:t>合同信息维护</w:t>
              </w:r>
            </w:sdtContent>
          </w:sdt>
          <w:r>
            <w:tab/>
          </w:r>
          <w:r>
            <w:t>95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_Toc14859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4d146524-a143-4ae5-972d-3dc52b2f7ed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6.9. </w:t>
              </w:r>
              <w:r>
                <w:rPr>
                  <w:rFonts w:hint="eastAsia" w:asciiTheme="majorAscii" w:hAnsiTheme="majorAscii" w:eastAsiaTheme="majorEastAsia" w:cstheme="majorBidi"/>
                </w:rPr>
                <w:t>交易单元管理</w:t>
              </w:r>
            </w:sdtContent>
          </w:sdt>
          <w:r>
            <w:tab/>
          </w:r>
          <w:r>
            <w:t>102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_Toc26443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d61ffb06-36e1-4b0f-a1c5-2b3cb15172f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6.9.1.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交易单元管理主界面</w:t>
              </w:r>
            </w:sdtContent>
          </w:sdt>
          <w:r>
            <w:tab/>
          </w:r>
          <w:r>
            <w:t>102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_Toc8624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59bb88f9-486e-4318-80b0-2530983b7bb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6.9.2.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交易单元信息维护</w:t>
              </w:r>
            </w:sdtContent>
          </w:sdt>
          <w:r>
            <w:tab/>
          </w:r>
          <w:r>
            <w:t>104</w:t>
          </w:r>
          <w:r>
            <w:fldChar w:fldCharType="end"/>
          </w:r>
        </w:p>
        <w:p>
          <w:pPr>
            <w:pStyle w:val="35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_Toc26810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6dba76e1-540f-45e0-920b-fc1bdaf2a43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ajorAscii" w:hAnsiTheme="majorAscii" w:eastAsiaTheme="majorEastAsia" w:cstheme="majorBidi"/>
                </w:rPr>
                <w:t xml:space="preserve">6.10. </w:t>
              </w:r>
              <w:r>
                <w:rPr>
                  <w:rFonts w:hint="eastAsia" w:asciiTheme="majorAscii" w:hAnsiTheme="majorAscii" w:eastAsiaTheme="majorEastAsia" w:cstheme="majorBidi"/>
                </w:rPr>
                <w:t>交易单元绑定</w:t>
              </w:r>
            </w:sdtContent>
          </w:sdt>
          <w:r>
            <w:tab/>
          </w:r>
          <w:r>
            <w:t>107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_Toc18682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af241950-49aa-47c8-b1d9-2855a16075e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6.10.1. </w:t>
              </w:r>
              <w:r>
                <w:rPr>
                  <w:rFonts w:hint="eastAsia" w:asciiTheme="minorAscii" w:hAnsiTheme="minorAscii" w:eastAsiaTheme="minorEastAsia" w:cstheme="minorBidi"/>
                </w:rPr>
                <w:t>交易单元绑定主界面</w:t>
              </w:r>
            </w:sdtContent>
          </w:sdt>
          <w:r>
            <w:tab/>
          </w:r>
          <w:r>
            <w:t>107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_Toc10415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20a55fe7-6375-478e-9433-f249844fce2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6.10.2. </w:t>
              </w:r>
              <w:r>
                <w:rPr>
                  <w:rFonts w:hint="eastAsia" w:asciiTheme="minorAscii" w:hAnsiTheme="minorAscii" w:eastAsiaTheme="minorEastAsia" w:cstheme="minorBidi"/>
                </w:rPr>
                <w:t>绑定</w:t>
              </w:r>
            </w:sdtContent>
          </w:sdt>
          <w:r>
            <w:tab/>
          </w:r>
          <w:r>
            <w:t>108</w:t>
          </w:r>
          <w:r>
            <w:fldChar w:fldCharType="end"/>
          </w:r>
        </w:p>
        <w:p>
          <w:pPr>
            <w:pStyle w:val="36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left"/>
            <w:textAlignment w:val="auto"/>
            <w:outlineLvl w:val="9"/>
          </w:pPr>
          <w:r>
            <w:fldChar w:fldCharType="begin"/>
          </w:r>
          <w:r>
            <w:instrText xml:space="preserve"> HYPERLINK \l _Toc31269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2300"/>
              <w:placeholder>
                <w:docPart w:val="{50df9f11-244b-4eb4-9467-d18b05787b6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Ascii" w:hAnsiTheme="minorAscii" w:eastAsiaTheme="minorEastAsia" w:cstheme="minorBidi"/>
                </w:rPr>
                <w:t xml:space="preserve">6.10.3. </w:t>
              </w:r>
              <w:r>
                <w:rPr>
                  <w:rFonts w:hint="eastAsia" w:asciiTheme="minorAscii" w:hAnsiTheme="minorAscii" w:eastAsiaTheme="minorEastAsia" w:cstheme="minorBidi"/>
                </w:rPr>
                <w:t>解绑</w:t>
              </w:r>
            </w:sdtContent>
          </w:sdt>
          <w:r>
            <w:tab/>
          </w:r>
          <w:r>
            <w:t>109</w:t>
          </w:r>
          <w:r>
            <w:fldChar w:fldCharType="end"/>
          </w:r>
        </w:p>
      </w:sdtContent>
    </w:sdt>
    <w:p>
      <w:pPr>
        <w:shd w:val="clear"/>
        <w:spacing w:line="360" w:lineRule="auto"/>
        <w:jc w:val="center"/>
        <w:rPr>
          <w:rFonts w:ascii="黑体" w:hAnsi="黑体" w:eastAsia="黑体"/>
          <w:sz w:val="28"/>
          <w:highlight w:val="none"/>
        </w:rPr>
      </w:pPr>
      <w:r>
        <w:rPr>
          <w:rFonts w:ascii="黑体" w:hAnsi="黑体" w:eastAsia="黑体"/>
          <w:sz w:val="28"/>
          <w:highlight w:val="none"/>
        </w:rPr>
        <w:br w:type="page"/>
      </w: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</w:rPr>
      </w:pPr>
      <w:bookmarkStart w:id="0" w:name="_Toc30456"/>
      <w:bookmarkStart w:id="1" w:name="_Toc20715"/>
      <w:bookmarkStart w:id="2" w:name="_Toc359868475"/>
      <w:bookmarkStart w:id="3" w:name="_Toc2032"/>
      <w:bookmarkStart w:id="4" w:name="_Toc400530335"/>
      <w:bookmarkStart w:id="5" w:name="_Toc29935"/>
      <w:bookmarkStart w:id="6" w:name="_Toc1606"/>
      <w:bookmarkStart w:id="7" w:name="_Toc18963"/>
      <w:bookmarkStart w:id="8" w:name="_Toc4889"/>
      <w:r>
        <w:rPr>
          <w:rFonts w:hint="eastAsia"/>
          <w:sz w:val="32"/>
          <w:szCs w:val="32"/>
          <w:highlight w:val="none"/>
        </w:rPr>
        <w:t>引言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bookmarkStart w:id="9" w:name="_Toc14502"/>
      <w:bookmarkStart w:id="10" w:name="_Toc24365"/>
      <w:bookmarkStart w:id="11" w:name="_Toc400530336"/>
      <w:bookmarkStart w:id="12" w:name="_Toc359868476"/>
      <w:bookmarkStart w:id="13" w:name="_Toc10081"/>
      <w:bookmarkStart w:id="14" w:name="_Toc20188"/>
      <w:bookmarkStart w:id="15" w:name="_Toc3749"/>
      <w:bookmarkStart w:id="16" w:name="_Toc19702"/>
      <w:bookmarkStart w:id="17" w:name="_Toc4039"/>
      <w:r>
        <w:rPr>
          <w:rFonts w:hint="eastAsia"/>
          <w:sz w:val="28"/>
          <w:szCs w:val="28"/>
          <w:highlight w:val="none"/>
        </w:rPr>
        <w:t>目的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>
      <w:pPr>
        <w:shd w:val="clear"/>
        <w:spacing w:line="360" w:lineRule="auto"/>
        <w:ind w:left="567"/>
        <w:rPr>
          <w:rFonts w:hint="eastAsia"/>
          <w:highlight w:val="none"/>
        </w:rPr>
      </w:pPr>
      <w:r>
        <w:rPr>
          <w:rFonts w:hint="eastAsia"/>
          <w:highlight w:val="none"/>
        </w:rPr>
        <w:t>介绍系统的各个功能界面，说明其使用方法。</w:t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</w:rPr>
      </w:pPr>
      <w:bookmarkStart w:id="18" w:name="_Toc13769"/>
      <w:bookmarkStart w:id="19" w:name="_Toc27001"/>
      <w:bookmarkStart w:id="20" w:name="_Toc27424"/>
      <w:bookmarkStart w:id="21" w:name="_Toc31597"/>
      <w:bookmarkStart w:id="22" w:name="_Toc359868481"/>
      <w:bookmarkStart w:id="23" w:name="_Toc21688"/>
      <w:bookmarkStart w:id="24" w:name="_Toc24755"/>
      <w:bookmarkStart w:id="25" w:name="_Toc400530337"/>
      <w:bookmarkStart w:id="26" w:name="_Toc6995"/>
      <w:r>
        <w:rPr>
          <w:rFonts w:hint="eastAsia"/>
          <w:sz w:val="28"/>
          <w:szCs w:val="28"/>
          <w:highlight w:val="none"/>
        </w:rPr>
        <w:t>使用用户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>
      <w:pPr>
        <w:shd w:val="clear"/>
        <w:spacing w:line="360" w:lineRule="auto"/>
        <w:ind w:left="567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t>安信基金管理有限责任公司</w:t>
      </w:r>
      <w:r>
        <w:rPr>
          <w:rFonts w:hint="eastAsia"/>
          <w:highlight w:val="none"/>
          <w:lang w:eastAsia="zh-CN"/>
        </w:rPr>
        <w:t>。</w:t>
      </w: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</w:rPr>
      </w:pPr>
      <w:bookmarkStart w:id="27" w:name="_Toc32389"/>
      <w:bookmarkStart w:id="28" w:name="_Toc400530338"/>
      <w:bookmarkStart w:id="29" w:name="_Toc19804"/>
      <w:bookmarkStart w:id="30" w:name="_Toc7259"/>
      <w:bookmarkStart w:id="31" w:name="_Toc17770"/>
      <w:bookmarkStart w:id="32" w:name="_Toc8388"/>
      <w:bookmarkStart w:id="33" w:name="_Toc16095"/>
      <w:r>
        <w:rPr>
          <w:rFonts w:hint="eastAsia"/>
          <w:sz w:val="32"/>
          <w:szCs w:val="32"/>
          <w:highlight w:val="none"/>
          <w:lang w:eastAsia="zh-CN"/>
        </w:rPr>
        <w:t>功能列表</w:t>
      </w:r>
      <w:bookmarkEnd w:id="27"/>
      <w:bookmarkEnd w:id="28"/>
      <w:bookmarkEnd w:id="29"/>
      <w:bookmarkEnd w:id="30"/>
      <w:bookmarkEnd w:id="31"/>
      <w:bookmarkEnd w:id="32"/>
      <w:bookmarkEnd w:id="33"/>
    </w:p>
    <w:tbl>
      <w:tblPr>
        <w:tblStyle w:val="20"/>
        <w:tblW w:w="8523" w:type="dxa"/>
        <w:jc w:val="center"/>
        <w:tblInd w:w="14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1"/>
        <w:gridCol w:w="1573"/>
        <w:gridCol w:w="1517"/>
        <w:gridCol w:w="428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70" w:hRule="atLeast"/>
          <w:jc w:val="center"/>
        </w:trPr>
        <w:tc>
          <w:tcPr>
            <w:tcW w:w="1151" w:type="dxa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一级菜单</w:t>
            </w:r>
          </w:p>
        </w:tc>
        <w:tc>
          <w:tcPr>
            <w:tcW w:w="1573" w:type="dxa"/>
            <w:vAlign w:val="bottom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二级菜单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三级菜单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highlight w:val="none"/>
              </w:rPr>
              <w:t>功能简述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320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产品管理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公募基金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对公募基金产品信息进行统一管理。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专户产品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对专户产品信息进行统一管理。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产品分级信息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对公募、专户产品项下的分级基金进行信息维护、管理。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  <w:t>账户管理</w:t>
            </w:r>
          </w:p>
        </w:tc>
        <w:tc>
          <w:tcPr>
            <w:tcW w:w="1573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  <w:t>运营账户管理</w:t>
            </w:r>
          </w:p>
        </w:tc>
        <w:tc>
          <w:tcPr>
            <w:tcW w:w="1517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FA账户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对资产存管类账户、费用类账户和专户及专项账户进行统一管理，实现对账户信息、附件、联系人的增删查改功能。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center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17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TA账户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对清算类账户、委贷类账户和机构销售类账户进行统一管理，实现对账户信息、附件、联系人的增删查改功能。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公司账户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母公司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对母公司基本账户、一般账户、风险准备金账户进行统一管理。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子公司</w:t>
            </w:r>
          </w:p>
        </w:tc>
        <w:tc>
          <w:tcPr>
            <w:tcW w:w="4282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对子公司基本账户、一般账户、风险准备金账户进行统一管理。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公共功能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产品干系人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维护基金产品项下的基金经理、助理、项目经理、托管行联系人等干系人信息，并建立产品和人员之间的对应关系。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投研人员管理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对投研人员的基本信息（姓名、学历等）、任职经历、学习经历、产品管理经历等进行统一管理。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外部人员管理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管理基金公司外部常用联系人的基本信息，后续可复用于产品干系人的维护。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重大事项揭示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kern w:val="0"/>
                <w:sz w:val="21"/>
                <w:szCs w:val="21"/>
                <w:highlight w:val="none"/>
              </w:rPr>
            </w:pPr>
            <w:r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  <w:t>维护产品、公司的重大事件，包括事件内容、时间和披露媒体。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主体信息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审计机构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销售机构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合同信息管理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交易单元管理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交易单元绑定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restart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  <w:t>提醒管理</w:t>
            </w: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日历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公用提醒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产品提醒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提醒规则管理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151" w:type="dxa"/>
            <w:vMerge w:val="continue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573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color w:val="000000"/>
                <w:kern w:val="0"/>
                <w:sz w:val="21"/>
                <w:szCs w:val="21"/>
                <w:highlight w:val="none"/>
                <w:lang w:val="en-US" w:eastAsia="zh-CN"/>
              </w:rPr>
              <w:t>提醒类型管理</w:t>
            </w:r>
          </w:p>
        </w:tc>
        <w:tc>
          <w:tcPr>
            <w:tcW w:w="1517" w:type="dxa"/>
            <w:vAlign w:val="bottom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color w:val="000000"/>
                <w:kern w:val="0"/>
                <w:sz w:val="21"/>
                <w:szCs w:val="21"/>
                <w:highlight w:val="none"/>
              </w:rPr>
            </w:pPr>
          </w:p>
        </w:tc>
        <w:tc>
          <w:tcPr>
            <w:tcW w:w="4282" w:type="dxa"/>
            <w:vAlign w:val="center"/>
          </w:tcPr>
          <w:p>
            <w:pPr>
              <w:widowControl/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kern w:val="0"/>
                <w:sz w:val="21"/>
                <w:szCs w:val="21"/>
                <w:highlight w:val="none"/>
                <w:lang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eastAsia="zh-CN"/>
        </w:rPr>
      </w:pPr>
      <w:bookmarkStart w:id="34" w:name="_Toc17590"/>
      <w:bookmarkStart w:id="35" w:name="_Toc20611"/>
      <w:bookmarkStart w:id="36" w:name="_Toc8837"/>
      <w:bookmarkStart w:id="37" w:name="_Toc3078"/>
      <w:bookmarkStart w:id="38" w:name="_Toc13313"/>
      <w:bookmarkStart w:id="39" w:name="_Toc16735"/>
      <w:r>
        <w:rPr>
          <w:rFonts w:hint="eastAsia"/>
          <w:sz w:val="32"/>
          <w:szCs w:val="32"/>
          <w:highlight w:val="none"/>
          <w:lang w:eastAsia="zh-CN"/>
        </w:rPr>
        <w:t>系统登录</w:t>
      </w:r>
      <w:bookmarkEnd w:id="34"/>
      <w:bookmarkEnd w:id="35"/>
      <w:bookmarkEnd w:id="36"/>
      <w:bookmarkEnd w:id="37"/>
      <w:bookmarkEnd w:id="38"/>
      <w:bookmarkEnd w:id="39"/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2" w:firstLineChars="200"/>
        <w:jc w:val="both"/>
        <w:textAlignment w:val="auto"/>
        <w:outlineLvl w:val="9"/>
        <w:rPr>
          <w:rFonts w:hint="eastAsia" w:eastAsiaTheme="minorEastAsia"/>
          <w:b/>
          <w:bCs/>
          <w:highlight w:val="none"/>
          <w:lang w:eastAsia="zh-CN"/>
        </w:rPr>
      </w:pPr>
      <w:bookmarkStart w:id="40" w:name="_Toc12313"/>
      <w:bookmarkStart w:id="41" w:name="_Toc2069"/>
      <w:bookmarkStart w:id="42" w:name="_Toc2073"/>
      <w:bookmarkStart w:id="43" w:name="_Toc22660"/>
      <w:r>
        <w:rPr>
          <w:rFonts w:hint="eastAsia"/>
          <w:b/>
          <w:bCs/>
          <w:highlight w:val="none"/>
          <w:lang w:eastAsia="zh-CN"/>
        </w:rPr>
        <w:t>操作说明：</w:t>
      </w:r>
      <w:bookmarkEnd w:id="40"/>
      <w:bookmarkEnd w:id="41"/>
      <w:bookmarkEnd w:id="42"/>
      <w:bookmarkEnd w:id="43"/>
    </w:p>
    <w:p>
      <w:pPr>
        <w:shd w:val="clear"/>
        <w:spacing w:line="360" w:lineRule="auto"/>
        <w:ind w:leftChars="200" w:firstLine="420" w:firstLineChars="200"/>
        <w:rPr>
          <w:highlight w:val="none"/>
        </w:rPr>
      </w:pPr>
      <w:r>
        <w:rPr>
          <w:rFonts w:hint="eastAsia"/>
          <w:highlight w:val="none"/>
        </w:rPr>
        <w:t>用户名</w:t>
      </w:r>
      <w:r>
        <w:rPr>
          <w:highlight w:val="none"/>
        </w:rPr>
        <w:t>：</w:t>
      </w:r>
    </w:p>
    <w:p>
      <w:pPr>
        <w:shd w:val="clear"/>
        <w:spacing w:line="360" w:lineRule="auto"/>
        <w:ind w:leftChars="200" w:firstLine="420" w:firstLineChars="200"/>
        <w:rPr>
          <w:highlight w:val="none"/>
        </w:rPr>
      </w:pPr>
      <w:r>
        <w:rPr>
          <w:rFonts w:hint="eastAsia"/>
          <w:highlight w:val="none"/>
        </w:rPr>
        <w:t>密码</w:t>
      </w:r>
      <w:r>
        <w:rPr>
          <w:highlight w:val="none"/>
        </w:rPr>
        <w:t>：</w:t>
      </w:r>
    </w:p>
    <w:p>
      <w:pPr>
        <w:shd w:val="clear"/>
        <w:spacing w:line="360" w:lineRule="auto"/>
        <w:ind w:leftChars="200" w:firstLine="420" w:firstLineChars="200"/>
        <w:rPr>
          <w:highlight w:val="none"/>
        </w:rPr>
      </w:pPr>
      <w:r>
        <w:rPr>
          <w:rFonts w:hint="eastAsia"/>
          <w:highlight w:val="none"/>
        </w:rPr>
        <w:t>岗位</w:t>
      </w:r>
      <w:r>
        <w:rPr>
          <w:highlight w:val="none"/>
        </w:rPr>
        <w:t>：</w:t>
      </w:r>
    </w:p>
    <w:p>
      <w:pPr>
        <w:shd w:val="clear"/>
        <w:spacing w:line="360" w:lineRule="auto"/>
        <w:ind w:leftChars="200" w:firstLine="420" w:firstLineChars="200"/>
        <w:rPr>
          <w:rFonts w:hint="eastAsia"/>
          <w:highlight w:val="none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t>”</w:t>
      </w:r>
      <w:r>
        <w:rPr>
          <w:rFonts w:hint="eastAsia"/>
          <w:highlight w:val="none"/>
        </w:rPr>
        <w:t>登录</w:t>
      </w:r>
      <w:r>
        <w:rPr>
          <w:highlight w:val="none"/>
        </w:rPr>
        <w:t>”</w:t>
      </w:r>
      <w:r>
        <w:rPr>
          <w:rFonts w:hint="eastAsia"/>
          <w:highlight w:val="none"/>
        </w:rPr>
        <w:t>，进入</w:t>
      </w:r>
      <w:r>
        <w:rPr>
          <w:highlight w:val="none"/>
        </w:rPr>
        <w:t>系统</w:t>
      </w:r>
      <w:r>
        <w:rPr>
          <w:rFonts w:hint="eastAsia"/>
          <w:highlight w:val="none"/>
        </w:rPr>
        <w:t>。</w:t>
      </w:r>
    </w:p>
    <w:p>
      <w:pPr>
        <w:shd w:val="clear"/>
        <w:spacing w:line="360" w:lineRule="auto"/>
        <w:ind w:leftChars="200" w:firstLine="420" w:firstLineChars="200"/>
        <w:rPr>
          <w:rFonts w:hint="eastAsia"/>
          <w:highlight w:val="none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2" w:firstLineChars="200"/>
        <w:jc w:val="both"/>
        <w:textAlignment w:val="auto"/>
        <w:outlineLvl w:val="9"/>
        <w:rPr>
          <w:rFonts w:hint="eastAsia"/>
          <w:b/>
          <w:bCs/>
          <w:highlight w:val="none"/>
          <w:lang w:eastAsia="zh-CN"/>
        </w:rPr>
      </w:pPr>
      <w:bookmarkStart w:id="44" w:name="_Toc17628"/>
      <w:bookmarkStart w:id="45" w:name="_Toc18078"/>
      <w:bookmarkStart w:id="46" w:name="_Toc13701"/>
      <w:bookmarkStart w:id="47" w:name="_Toc21196"/>
      <w:r>
        <w:rPr>
          <w:rFonts w:hint="eastAsia"/>
          <w:b/>
          <w:bCs/>
          <w:highlight w:val="none"/>
          <w:lang w:eastAsia="zh-CN"/>
        </w:rPr>
        <w:t>界面</w:t>
      </w:r>
      <w:bookmarkEnd w:id="44"/>
      <w:bookmarkEnd w:id="45"/>
      <w:bookmarkEnd w:id="46"/>
      <w:bookmarkEnd w:id="47"/>
    </w:p>
    <w:p>
      <w:pPr>
        <w:shd w:val="clear"/>
        <w:spacing w:line="360" w:lineRule="auto"/>
        <w:jc w:val="center"/>
        <w:rPr>
          <w:highlight w:val="none"/>
        </w:rPr>
      </w:pPr>
      <w:r>
        <w:rPr>
          <w:highlight w:val="none"/>
        </w:rPr>
        <w:drawing>
          <wp:inline distT="0" distB="0" distL="0" distR="0">
            <wp:extent cx="2867025" cy="2085975"/>
            <wp:effectExtent l="0" t="0" r="1333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highlight w:val="none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48" w:name="_Toc7339"/>
      <w:bookmarkStart w:id="49" w:name="_Toc12951"/>
      <w:bookmarkStart w:id="50" w:name="_Toc19330"/>
      <w:bookmarkStart w:id="51" w:name="_Toc31825"/>
      <w:bookmarkStart w:id="52" w:name="_Toc21982"/>
      <w:bookmarkStart w:id="53" w:name="_Toc17786"/>
      <w:r>
        <w:rPr>
          <w:rFonts w:hint="eastAsia"/>
          <w:sz w:val="32"/>
          <w:szCs w:val="32"/>
          <w:highlight w:val="none"/>
          <w:lang w:val="en-US" w:eastAsia="zh-CN"/>
        </w:rPr>
        <w:t>产品管理</w:t>
      </w:r>
      <w:bookmarkEnd w:id="48"/>
      <w:bookmarkEnd w:id="49"/>
      <w:bookmarkEnd w:id="50"/>
      <w:bookmarkEnd w:id="51"/>
      <w:bookmarkEnd w:id="52"/>
      <w:bookmarkEnd w:id="53"/>
    </w:p>
    <w:p>
      <w:pPr>
        <w:numPr>
          <w:ilvl w:val="0"/>
          <w:numId w:val="3"/>
        </w:numPr>
        <w:shd w:val="clear"/>
        <w:ind w:left="840" w:leftChars="0"/>
        <w:rPr>
          <w:highlight w:val="none"/>
        </w:rPr>
      </w:pPr>
      <w:bookmarkStart w:id="54" w:name="_Toc25618"/>
      <w:r>
        <w:rPr>
          <w:rFonts w:hint="eastAsia"/>
          <w:highlight w:val="none"/>
          <w:lang w:eastAsia="zh-CN"/>
        </w:rPr>
        <w:t>产品</w:t>
      </w:r>
      <w:r>
        <w:rPr>
          <w:highlight w:val="none"/>
        </w:rPr>
        <w:t>管理</w:t>
      </w:r>
      <w:bookmarkEnd w:id="54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470" w:leftChars="50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公募基金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470" w:leftChars="50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专户产品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470" w:leftChars="500" w:right="0" w:rightChars="0" w:hanging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产品分级信息</w:t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55" w:name="_Toc26298"/>
      <w:bookmarkStart w:id="56" w:name="_Toc12649"/>
      <w:bookmarkStart w:id="57" w:name="_Toc10758"/>
      <w:bookmarkStart w:id="58" w:name="_Toc32200"/>
      <w:bookmarkStart w:id="59" w:name="_Toc16587"/>
      <w:bookmarkStart w:id="60" w:name="_Toc9931"/>
      <w:r>
        <w:rPr>
          <w:rFonts w:hint="eastAsia"/>
          <w:sz w:val="28"/>
          <w:szCs w:val="28"/>
          <w:highlight w:val="none"/>
          <w:lang w:val="en-US" w:eastAsia="zh-CN"/>
        </w:rPr>
        <w:t>公募基金</w:t>
      </w:r>
      <w:bookmarkEnd w:id="55"/>
      <w:bookmarkEnd w:id="56"/>
      <w:bookmarkEnd w:id="57"/>
      <w:bookmarkEnd w:id="58"/>
      <w:bookmarkEnd w:id="59"/>
      <w:bookmarkEnd w:id="60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61" w:name="_Toc9705"/>
      <w:bookmarkStart w:id="62" w:name="_Toc3158"/>
      <w:bookmarkStart w:id="63" w:name="_Toc30311"/>
      <w:bookmarkStart w:id="64" w:name="_Toc20874"/>
      <w:bookmarkStart w:id="65" w:name="_Toc14772"/>
      <w:r>
        <w:rPr>
          <w:rFonts w:hint="eastAsia"/>
          <w:highlight w:val="none"/>
          <w:lang w:val="en-US" w:eastAsia="zh-CN"/>
        </w:rPr>
        <w:t>公募基金主界面</w:t>
      </w:r>
      <w:bookmarkEnd w:id="61"/>
      <w:bookmarkEnd w:id="62"/>
      <w:bookmarkEnd w:id="63"/>
      <w:bookmarkEnd w:id="64"/>
      <w:bookmarkEnd w:id="65"/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highlight w:val="none"/>
        </w:rPr>
      </w:pPr>
      <w:bookmarkStart w:id="66" w:name="_Toc11671"/>
      <w:bookmarkStart w:id="67" w:name="_Toc11279"/>
      <w:bookmarkStart w:id="68" w:name="_Toc29590"/>
      <w:r>
        <w:rPr>
          <w:rStyle w:val="17"/>
          <w:rFonts w:hint="eastAsia"/>
          <w:highlight w:val="none"/>
        </w:rPr>
        <w:t>操作说明</w:t>
      </w:r>
      <w:bookmarkEnd w:id="66"/>
      <w:bookmarkEnd w:id="67"/>
      <w:bookmarkEnd w:id="68"/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打开【产品管理】--&gt;点击【公募基金】；</w:t>
      </w:r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系统界面加载公募基金的主界面，有“股票型、债券型、混合型、货币型、指数型”五种产品类型，点击一种类型，可获取该类型的所有产品记录；</w:t>
      </w:r>
    </w:p>
    <w:p>
      <w:pPr>
        <w:pStyle w:val="30"/>
        <w:keepNext w:val="0"/>
        <w:keepLines w:val="0"/>
        <w:pageBreakBefore w:val="0"/>
        <w:numPr>
          <w:ilvl w:val="0"/>
          <w:numId w:val="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点击相应操作按钮，可以对公募基金信息进行新增、修改、复制、删除、审核、反审核、同步、查询的操作；</w:t>
      </w:r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69" w:name="_Toc14028"/>
      <w:bookmarkStart w:id="70" w:name="_Toc7709"/>
      <w:bookmarkStart w:id="71" w:name="_Toc26766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69"/>
      <w:bookmarkEnd w:id="70"/>
      <w:bookmarkEnd w:id="71"/>
    </w:p>
    <w:p>
      <w:pPr>
        <w:shd w:val="clear"/>
        <w:spacing w:line="360" w:lineRule="auto"/>
        <w:jc w:val="both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7325" cy="2227580"/>
            <wp:effectExtent l="9525" t="9525" r="11430" b="18415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7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72" w:name="_Toc10912"/>
      <w:bookmarkStart w:id="73" w:name="_Toc9397"/>
      <w:bookmarkStart w:id="74" w:name="_Toc29311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72"/>
      <w:bookmarkEnd w:id="73"/>
      <w:bookmarkEnd w:id="74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同步（暂不支持）</w:t>
            </w:r>
          </w:p>
        </w:tc>
        <w:tc>
          <w:tcPr>
            <w:tcW w:w="585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jc w:val="left"/>
              <w:textAlignment w:val="auto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1.单选/多选记录，点击“同步”，</w:t>
            </w:r>
            <w:r>
              <w:rPr>
                <w:rFonts w:hint="eastAsia"/>
                <w:highlight w:val="none"/>
                <w:lang w:eastAsia="zh-CN"/>
              </w:rPr>
              <w:t>跳转至‘同步界面’，点击界面上方的同步按钮</w:t>
            </w:r>
            <w:r>
              <w:rPr>
                <w:highlight w:val="none"/>
              </w:rPr>
              <w:drawing>
                <wp:inline distT="0" distB="0" distL="114300" distR="114300">
                  <wp:extent cx="213360" cy="205740"/>
                  <wp:effectExtent l="0" t="0" r="0" b="762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205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highlight w:val="none"/>
                <w:lang w:eastAsia="zh-CN"/>
              </w:rPr>
              <w:t>，点击后将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信息同步至估值系统的对应模块；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2.只可对已审核信息进行同步操作；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7"/>
              </w:numPr>
              <w:shd w:val="clear"/>
              <w:spacing w:line="360" w:lineRule="auto"/>
              <w:ind w:left="0" w:leftChars="0" w:firstLine="0" w:firstLine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支持模糊查询；</w:t>
            </w:r>
          </w:p>
          <w:p>
            <w:pPr>
              <w:pStyle w:val="30"/>
              <w:numPr>
                <w:ilvl w:val="0"/>
                <w:numId w:val="7"/>
              </w:numPr>
              <w:shd w:val="clear"/>
              <w:spacing w:line="360" w:lineRule="auto"/>
              <w:ind w:left="0" w:leftChars="0" w:firstLine="0" w:firstLine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输入“查询条件”后，点击“查询”，进行查询操作；</w:t>
            </w:r>
          </w:p>
        </w:tc>
      </w:tr>
    </w:tbl>
    <w:p>
      <w:pPr>
        <w:pStyle w:val="4"/>
        <w:shd w:val="clear"/>
        <w:spacing w:line="360" w:lineRule="auto"/>
        <w:rPr>
          <w:rFonts w:hint="eastAsia"/>
          <w:b/>
          <w:bCs/>
          <w:highlight w:val="none"/>
          <w:lang w:eastAsia="zh-CN"/>
        </w:rPr>
      </w:pPr>
      <w:bookmarkStart w:id="75" w:name="_Toc26636"/>
      <w:bookmarkStart w:id="76" w:name="_Toc4149"/>
      <w:bookmarkStart w:id="77" w:name="_Toc18770"/>
      <w:bookmarkStart w:id="78" w:name="_Toc24076"/>
      <w:bookmarkStart w:id="79" w:name="_Toc25771"/>
      <w:r>
        <w:rPr>
          <w:rFonts w:hint="eastAsia"/>
          <w:highlight w:val="none"/>
          <w:lang w:val="en-US" w:eastAsia="zh-CN"/>
        </w:rPr>
        <w:t>公募基金维护</w:t>
      </w:r>
      <w:bookmarkEnd w:id="75"/>
      <w:bookmarkEnd w:id="76"/>
      <w:bookmarkEnd w:id="77"/>
      <w:bookmarkEnd w:id="78"/>
      <w:bookmarkEnd w:id="79"/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80" w:name="_Toc9077"/>
      <w:bookmarkStart w:id="81" w:name="_Toc3572"/>
      <w:bookmarkStart w:id="82" w:name="_Toc1600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  <w:bookmarkEnd w:id="80"/>
      <w:bookmarkEnd w:id="81"/>
      <w:bookmarkEnd w:id="82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公募基金维护</w:t>
      </w:r>
      <w:r>
        <w:rPr>
          <w:rFonts w:hint="eastAsia"/>
          <w:highlight w:val="none"/>
          <w:lang w:val="en-US" w:eastAsia="zh-CN"/>
        </w:rPr>
        <w:t>界面，可在维护界面维护公募基金产品信息。</w:t>
      </w:r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bookmarkStart w:id="83" w:name="_Toc29743"/>
      <w:bookmarkStart w:id="84" w:name="_Toc4955"/>
      <w:bookmarkStart w:id="85" w:name="_Toc23160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  <w:bookmarkEnd w:id="83"/>
      <w:bookmarkEnd w:id="84"/>
      <w:bookmarkEnd w:id="85"/>
    </w:p>
    <w:p>
      <w:pPr>
        <w:shd w:val="clear"/>
        <w:spacing w:line="360" w:lineRule="auto"/>
        <w:rPr>
          <w:rFonts w:hint="eastAsia"/>
          <w:b/>
          <w:bCs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8656955"/>
            <wp:effectExtent l="9525" t="9525" r="11430" b="203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5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bookmarkStart w:id="86" w:name="_Toc8780"/>
      <w:bookmarkStart w:id="87" w:name="_Toc5062"/>
      <w:bookmarkStart w:id="88" w:name="_Toc357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元素说明</w:t>
      </w:r>
      <w:bookmarkEnd w:id="86"/>
      <w:bookmarkEnd w:id="87"/>
      <w:bookmarkEnd w:id="88"/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FIRST代码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根据基金业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协会要求编制，用于数据对外报送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产品归属部门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加载自部门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1-证券投资基金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2-资产管理计划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1-股票型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2-债券型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3-混合型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5-指数型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管理类型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1-主动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2-被动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风险等级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2-中高风险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3-中等风险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4-中低风险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5-低风险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产品转型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管理人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托管人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初始规模（元）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保留两位小数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募集开始日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募集截止日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提前结束募集日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净值精度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输入保留几位小数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销售方式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1-直销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2-代销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披露媒体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1-上海证券报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2-中国证券报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3-证券时报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4-证券日报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注册登记机构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1-上海中登TA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2-深圳中登TA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3-自建TA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4-其他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是否分级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是否有投顾人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是否有网下打新资格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是否开立银行间账户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交易资格信息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1-交易所市场交易资格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2-上海清算所短期融资券业务平台资格申请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3-深交所综合协议交易平台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4-网下新股询价申购资格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5-银行间债券交易资格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6-大宗交易平台-上交所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7-固定收益平台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8-其他业务资格说明（如有以上未列事项说明）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结算模式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1-银行结算模式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2-券商结算模式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产品估值信息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组合代码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默认和资产代码一致；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组合币种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1-人民币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2-美元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4-英镑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5-澳元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6-日元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7-欧元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8-新西兰元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9-新加坡元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组合级别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1-组合层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2-单元层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3-计划层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节假日群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资产类别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1-普通型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3-ETF群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4-联接型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center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产品状态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1-草稿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2-待发行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3-募集期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4-存续期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5-已到期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6-已清算</w:t>
            </w:r>
          </w:p>
        </w:tc>
      </w:tr>
    </w:tbl>
    <w:p>
      <w:pPr>
        <w:shd w:val="clear"/>
        <w:spacing w:line="360" w:lineRule="auto"/>
        <w:rPr>
          <w:highlight w:val="none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89" w:name="_Toc27996"/>
      <w:bookmarkStart w:id="90" w:name="_Toc1298"/>
      <w:bookmarkStart w:id="91" w:name="_Toc14330"/>
      <w:bookmarkStart w:id="92" w:name="_Toc253"/>
      <w:bookmarkStart w:id="93" w:name="_Toc16430"/>
      <w:bookmarkStart w:id="94" w:name="_Toc20912"/>
      <w:r>
        <w:rPr>
          <w:rFonts w:hint="eastAsia"/>
          <w:sz w:val="28"/>
          <w:szCs w:val="28"/>
          <w:highlight w:val="none"/>
          <w:lang w:val="en-US" w:eastAsia="zh-CN"/>
        </w:rPr>
        <w:t>专户产品</w:t>
      </w:r>
      <w:bookmarkEnd w:id="89"/>
      <w:bookmarkEnd w:id="90"/>
      <w:bookmarkEnd w:id="91"/>
      <w:bookmarkEnd w:id="92"/>
      <w:bookmarkEnd w:id="93"/>
      <w:bookmarkEnd w:id="94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95" w:name="_Toc31972"/>
      <w:bookmarkStart w:id="96" w:name="_Toc30591"/>
      <w:bookmarkStart w:id="97" w:name="_Toc22223"/>
      <w:bookmarkStart w:id="98" w:name="_Toc3982"/>
      <w:bookmarkStart w:id="99" w:name="_Toc5758"/>
      <w:r>
        <w:rPr>
          <w:rFonts w:hint="eastAsia"/>
          <w:highlight w:val="none"/>
          <w:lang w:val="en-US" w:eastAsia="zh-CN"/>
        </w:rPr>
        <w:t>专户产品主界面</w:t>
      </w:r>
      <w:bookmarkEnd w:id="95"/>
      <w:bookmarkEnd w:id="96"/>
      <w:bookmarkEnd w:id="97"/>
      <w:bookmarkEnd w:id="98"/>
      <w:bookmarkEnd w:id="99"/>
    </w:p>
    <w:p>
      <w:pPr>
        <w:pStyle w:val="24"/>
        <w:numPr>
          <w:ilvl w:val="0"/>
          <w:numId w:val="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100" w:name="_Toc5356"/>
      <w:bookmarkStart w:id="101" w:name="_Toc20924"/>
      <w:bookmarkStart w:id="102" w:name="_Toc7197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100"/>
      <w:bookmarkEnd w:id="101"/>
      <w:bookmarkEnd w:id="102"/>
    </w:p>
    <w:p>
      <w:pPr>
        <w:pStyle w:val="30"/>
        <w:keepNext w:val="0"/>
        <w:keepLines w:val="0"/>
        <w:pageBreakBefore w:val="0"/>
        <w:numPr>
          <w:ilvl w:val="0"/>
          <w:numId w:val="1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打开【产品管理】--&gt;点击【专户产品】；</w:t>
      </w:r>
    </w:p>
    <w:p>
      <w:pPr>
        <w:pStyle w:val="30"/>
        <w:keepNext w:val="0"/>
        <w:keepLines w:val="0"/>
        <w:pageBreakBefore w:val="0"/>
        <w:numPr>
          <w:ilvl w:val="0"/>
          <w:numId w:val="1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系统界面加载专户产品的主界面，有</w:t>
      </w:r>
      <w:r>
        <w:rPr>
          <w:rFonts w:hint="eastAsia" w:ascii="宋体" w:hAnsi="宋体"/>
          <w:color w:val="FF0000"/>
          <w:sz w:val="21"/>
          <w:highlight w:val="none"/>
          <w:lang w:eastAsia="zh-CN"/>
        </w:rPr>
        <w:t>“主动、通道、投顾、其他”</w:t>
      </w:r>
      <w:r>
        <w:rPr>
          <w:rFonts w:hint="eastAsia" w:ascii="宋体" w:hAnsi="宋体"/>
          <w:sz w:val="21"/>
          <w:highlight w:val="none"/>
          <w:lang w:eastAsia="zh-CN"/>
        </w:rPr>
        <w:t>四种产品管理类型，点击一种类型，可获取该类型的所有产品记录；</w:t>
      </w:r>
    </w:p>
    <w:p>
      <w:pPr>
        <w:pStyle w:val="30"/>
        <w:keepNext w:val="0"/>
        <w:keepLines w:val="0"/>
        <w:pageBreakBefore w:val="0"/>
        <w:numPr>
          <w:ilvl w:val="0"/>
          <w:numId w:val="1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点击相应操作按钮，可以对专户产品信息进行新增、修改、复制、删除、审核、反审核、同步、查询的操作；</w:t>
      </w:r>
    </w:p>
    <w:p>
      <w:pPr>
        <w:pStyle w:val="24"/>
        <w:numPr>
          <w:ilvl w:val="0"/>
          <w:numId w:val="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color w:val="FF0000"/>
          <w:sz w:val="21"/>
          <w:szCs w:val="22"/>
          <w:highlight w:val="none"/>
          <w:lang w:eastAsia="zh-CN"/>
        </w:rPr>
      </w:pPr>
      <w:bookmarkStart w:id="103" w:name="_Toc7859"/>
      <w:bookmarkStart w:id="104" w:name="_Toc32760"/>
      <w:bookmarkStart w:id="105" w:name="_Toc29451"/>
      <w:r>
        <w:rPr>
          <w:rStyle w:val="17"/>
          <w:rFonts w:hint="eastAsia"/>
          <w:color w:val="FF0000"/>
          <w:sz w:val="21"/>
          <w:szCs w:val="22"/>
          <w:highlight w:val="none"/>
          <w:lang w:eastAsia="zh-CN"/>
        </w:rPr>
        <w:t>界面</w:t>
      </w:r>
      <w:bookmarkEnd w:id="103"/>
      <w:bookmarkEnd w:id="104"/>
      <w:bookmarkEnd w:id="105"/>
    </w:p>
    <w:p>
      <w:pPr>
        <w:pStyle w:val="24"/>
        <w:numPr>
          <w:ilvl w:val="0"/>
          <w:numId w:val="9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106" w:name="_Toc14630"/>
      <w:bookmarkStart w:id="107" w:name="_Toc7081"/>
      <w:bookmarkStart w:id="108" w:name="_Toc21870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106"/>
      <w:bookmarkEnd w:id="107"/>
      <w:bookmarkEnd w:id="108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同步（暂不支持）</w:t>
            </w:r>
          </w:p>
        </w:tc>
        <w:tc>
          <w:tcPr>
            <w:tcW w:w="585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jc w:val="left"/>
              <w:textAlignment w:val="auto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1.单选/多选记录，点击“同步”，</w:t>
            </w:r>
            <w:r>
              <w:rPr>
                <w:rFonts w:hint="eastAsia"/>
                <w:highlight w:val="none"/>
                <w:lang w:eastAsia="zh-CN"/>
              </w:rPr>
              <w:t>跳转至‘同步界面’，点击界面上方的同步按钮</w:t>
            </w:r>
            <w:r>
              <w:rPr>
                <w:highlight w:val="none"/>
              </w:rPr>
              <w:drawing>
                <wp:inline distT="0" distB="0" distL="114300" distR="114300">
                  <wp:extent cx="213360" cy="205740"/>
                  <wp:effectExtent l="0" t="0" r="0" b="762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205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highlight w:val="none"/>
                <w:lang w:eastAsia="zh-CN"/>
              </w:rPr>
              <w:t>，点击后将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信息同步至估值系统的对应模块；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2.只可对已审核信息进行同步操作；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109" w:name="_Toc3115"/>
      <w:bookmarkStart w:id="110" w:name="_Toc29993"/>
      <w:bookmarkStart w:id="111" w:name="_Toc32423"/>
      <w:bookmarkStart w:id="112" w:name="_Toc29221"/>
      <w:bookmarkStart w:id="113" w:name="_Toc3927"/>
      <w:r>
        <w:rPr>
          <w:rFonts w:hint="eastAsia"/>
          <w:highlight w:val="none"/>
          <w:lang w:val="en-US" w:eastAsia="zh-CN"/>
        </w:rPr>
        <w:t>专户产品维护</w:t>
      </w:r>
      <w:bookmarkEnd w:id="109"/>
      <w:bookmarkEnd w:id="110"/>
      <w:bookmarkEnd w:id="111"/>
      <w:bookmarkEnd w:id="112"/>
      <w:bookmarkEnd w:id="113"/>
    </w:p>
    <w:p>
      <w:pPr>
        <w:pStyle w:val="24"/>
        <w:numPr>
          <w:ilvl w:val="0"/>
          <w:numId w:val="11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114" w:name="_Toc21492"/>
      <w:bookmarkStart w:id="115" w:name="_Toc29248"/>
      <w:bookmarkStart w:id="116" w:name="_Toc24338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操作说明</w:t>
      </w:r>
      <w:bookmarkEnd w:id="114"/>
      <w:bookmarkEnd w:id="115"/>
      <w:bookmarkEnd w:id="116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eastAsia="zh-CN"/>
        </w:rPr>
        <w:t>专户产品维护</w:t>
      </w:r>
      <w:r>
        <w:rPr>
          <w:rFonts w:hint="eastAsia"/>
          <w:highlight w:val="none"/>
          <w:lang w:val="en-US" w:eastAsia="zh-CN"/>
        </w:rPr>
        <w:t>界面，可在维护界面维护专户产品信息。</w:t>
      </w:r>
    </w:p>
    <w:p>
      <w:pPr>
        <w:pStyle w:val="24"/>
        <w:numPr>
          <w:ilvl w:val="0"/>
          <w:numId w:val="11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117" w:name="_Toc6427"/>
      <w:bookmarkStart w:id="118" w:name="_Toc32191"/>
      <w:bookmarkStart w:id="119" w:name="_Toc26508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界面</w:t>
      </w:r>
      <w:bookmarkEnd w:id="117"/>
      <w:bookmarkEnd w:id="118"/>
      <w:bookmarkEnd w:id="119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71135" cy="10245725"/>
            <wp:effectExtent l="9525" t="9525" r="22860" b="1651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5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1"/>
        </w:numPr>
        <w:shd w:val="clear"/>
        <w:spacing w:line="360" w:lineRule="auto"/>
        <w:ind w:left="845" w:leftChars="0" w:hanging="425" w:firstLineChars="0"/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</w:pPr>
      <w:bookmarkStart w:id="120" w:name="_Toc10701"/>
      <w:bookmarkStart w:id="121" w:name="_Toc22906"/>
      <w:bookmarkStart w:id="122" w:name="_Toc7964"/>
      <w:r>
        <w:rPr>
          <w:rStyle w:val="17"/>
          <w:rFonts w:hint="eastAsia" w:asciiTheme="minorHAnsi" w:hAnsiTheme="minorHAnsi" w:eastAsiaTheme="minorEastAsia" w:cstheme="minorBidi"/>
          <w:kern w:val="2"/>
          <w:sz w:val="21"/>
          <w:szCs w:val="22"/>
          <w:highlight w:val="none"/>
          <w:lang w:val="en-US" w:eastAsia="zh-CN" w:bidi="ar-SA"/>
        </w:rPr>
        <w:t>元素说明</w:t>
      </w:r>
      <w:bookmarkEnd w:id="120"/>
      <w:bookmarkEnd w:id="121"/>
      <w:bookmarkEnd w:id="122"/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default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FIRST代码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根据基金业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协会要求编制，用于数据对外报送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产品归属部门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1-证券投资基金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2-资产管理计划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1-股票型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2-债券型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3-混合型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5-指数型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管理类型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1-主动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2-被动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风险等级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2-中高风险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3-中等风险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4-中低风险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5-低风险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产品转型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管理人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托管人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初始规模（元）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保留两位小数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募集开始日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募集截止日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提前结束募集日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净值精度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输入保留几位小数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销售方式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1-直销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2-代销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注册登记机构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1-上海中登TA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2-深圳中登TA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3-自建TA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Style w:val="33"/>
                <w:rFonts w:hint="eastAsia" w:asciiTheme="minorEastAsia" w:hAnsiTheme="minorEastAsia" w:eastAsiaTheme="minorEastAsia" w:cstheme="minorEastAsia"/>
                <w:color w:val="auto"/>
                <w:sz w:val="15"/>
                <w:szCs w:val="15"/>
                <w:highlight w:val="none"/>
                <w:lang w:val="en-US" w:eastAsia="zh-CN" w:bidi="ar"/>
              </w:rPr>
              <w:t>4-其他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是否分级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是否有投顾人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是否有网下打新资格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是否开立银行间账户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交易资格信息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1-交易所市场交易资格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2-上海清算所短期融资券业务平台资格申请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3-深交所综合协议交易平台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4-网下新股询价申购资格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5-银行间债券交易资格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6-大宗交易平台-上交所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7-固定收益平台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8-其他业务资格说明（如有以上未列事项说明）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default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S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代码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基金业协会备案通过后，提供的代码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是否估值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产品期限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期限单位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1-天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2-周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3-月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是否展期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0-否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委托人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清算日期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shd w:val="clea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结算模式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1-银行结算模式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2-券商结算模式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产品所属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1-母公司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产品估值信息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组合代码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color w:val="auto"/>
                <w:sz w:val="15"/>
                <w:szCs w:val="15"/>
                <w:highlight w:val="none"/>
                <w:lang w:val="en-US" w:eastAsia="zh-CN"/>
              </w:rPr>
              <w:t>默认和资产代码一致；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组合币种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1-人民币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2-美元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4-英镑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5-澳元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6-日元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7-欧元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8-新西兰元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9-新加坡元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组合级别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1-组合层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2-单元层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3-计划层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节假日群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资产类别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1-普通型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2-货币型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3-ETF群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4-联接型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产品状态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1-草稿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2-待发行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3-募集期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4-存续期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5-已到期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i w:val="0"/>
                <w:color w:val="auto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  <w:t>6-已清算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123" w:name="_Toc9233"/>
      <w:bookmarkStart w:id="124" w:name="_Toc14304"/>
      <w:bookmarkStart w:id="125" w:name="_Toc20091"/>
      <w:bookmarkStart w:id="126" w:name="_Toc20243"/>
      <w:bookmarkStart w:id="127" w:name="_Toc8167"/>
      <w:bookmarkStart w:id="128" w:name="_Toc18391"/>
      <w:r>
        <w:rPr>
          <w:rFonts w:hint="eastAsia"/>
          <w:sz w:val="28"/>
          <w:szCs w:val="28"/>
          <w:highlight w:val="none"/>
          <w:lang w:val="en-US" w:eastAsia="zh-CN"/>
        </w:rPr>
        <w:t>产品分级信息</w:t>
      </w:r>
      <w:bookmarkEnd w:id="123"/>
      <w:bookmarkEnd w:id="124"/>
      <w:bookmarkEnd w:id="125"/>
      <w:bookmarkEnd w:id="126"/>
      <w:bookmarkEnd w:id="127"/>
      <w:bookmarkEnd w:id="128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129" w:name="_Toc3232"/>
      <w:bookmarkStart w:id="130" w:name="_Toc26770"/>
      <w:bookmarkStart w:id="131" w:name="_Toc3659"/>
      <w:bookmarkStart w:id="132" w:name="_Toc13801"/>
      <w:bookmarkStart w:id="133" w:name="_Toc11284"/>
      <w:r>
        <w:rPr>
          <w:rFonts w:hint="eastAsia"/>
          <w:highlight w:val="none"/>
          <w:lang w:val="en-US" w:eastAsia="zh-CN"/>
        </w:rPr>
        <w:t>产品分级信息主界面</w:t>
      </w:r>
      <w:bookmarkEnd w:id="129"/>
      <w:bookmarkEnd w:id="130"/>
      <w:bookmarkEnd w:id="131"/>
      <w:bookmarkEnd w:id="132"/>
      <w:bookmarkEnd w:id="133"/>
    </w:p>
    <w:p>
      <w:pPr>
        <w:pStyle w:val="24"/>
        <w:numPr>
          <w:ilvl w:val="0"/>
          <w:numId w:val="1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134" w:name="_Toc28367"/>
      <w:bookmarkStart w:id="135" w:name="_Toc19106"/>
      <w:bookmarkStart w:id="136" w:name="_Toc15876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  <w:bookmarkEnd w:id="134"/>
      <w:bookmarkEnd w:id="135"/>
      <w:bookmarkEnd w:id="136"/>
    </w:p>
    <w:p>
      <w:pPr>
        <w:pStyle w:val="30"/>
        <w:keepNext w:val="0"/>
        <w:keepLines w:val="0"/>
        <w:pageBreakBefore w:val="0"/>
        <w:numPr>
          <w:ilvl w:val="0"/>
          <w:numId w:val="13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打开【产品管理】--&gt;点击【产品分级信息】；</w:t>
      </w:r>
    </w:p>
    <w:p>
      <w:pPr>
        <w:pStyle w:val="30"/>
        <w:keepNext w:val="0"/>
        <w:keepLines w:val="0"/>
        <w:pageBreakBefore w:val="0"/>
        <w:numPr>
          <w:ilvl w:val="0"/>
          <w:numId w:val="13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点击相应操作按钮，可以对分级产品进行新增、修改、复制、删除、审核、反审核、同步、查询的操作；</w:t>
      </w:r>
    </w:p>
    <w:p>
      <w:pPr>
        <w:pStyle w:val="24"/>
        <w:numPr>
          <w:ilvl w:val="0"/>
          <w:numId w:val="12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highlight w:val="none"/>
          <w:lang w:val="en-US" w:eastAsia="zh-CN"/>
        </w:rPr>
      </w:pPr>
      <w:bookmarkStart w:id="137" w:name="_Toc14362"/>
      <w:bookmarkStart w:id="138" w:name="_Toc2345"/>
      <w:bookmarkStart w:id="139" w:name="_Toc32368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  <w:bookmarkEnd w:id="137"/>
      <w:bookmarkEnd w:id="138"/>
      <w:bookmarkEnd w:id="139"/>
    </w:p>
    <w:p>
      <w:p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7325" cy="2466340"/>
            <wp:effectExtent l="9525" t="9525" r="11430" b="23495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140" w:name="_Toc31651"/>
      <w:bookmarkStart w:id="141" w:name="_Toc1332"/>
      <w:bookmarkStart w:id="142" w:name="_Toc1000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140"/>
      <w:bookmarkEnd w:id="141"/>
      <w:bookmarkEnd w:id="142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同步（暂不支持）</w:t>
            </w:r>
          </w:p>
        </w:tc>
        <w:tc>
          <w:tcPr>
            <w:tcW w:w="585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jc w:val="left"/>
              <w:textAlignment w:val="auto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1.单选/多选记录，点击“同步”，</w:t>
            </w:r>
            <w:r>
              <w:rPr>
                <w:rFonts w:hint="eastAsia"/>
                <w:highlight w:val="none"/>
                <w:lang w:eastAsia="zh-CN"/>
              </w:rPr>
              <w:t>跳转至‘同步界面’，点击界面上方的同步按钮</w:t>
            </w:r>
            <w:r>
              <w:rPr>
                <w:highlight w:val="none"/>
              </w:rPr>
              <w:drawing>
                <wp:inline distT="0" distB="0" distL="114300" distR="114300">
                  <wp:extent cx="213360" cy="205740"/>
                  <wp:effectExtent l="0" t="0" r="0" b="7620"/>
                  <wp:docPr id="3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205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highlight w:val="none"/>
                <w:lang w:eastAsia="zh-CN"/>
              </w:rPr>
              <w:t>，点击后将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信息同步至估值系统的对应模块；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2.只可对已审核信息进行同步操作；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143" w:name="_Toc25336"/>
      <w:bookmarkStart w:id="144" w:name="_Toc8478"/>
      <w:bookmarkStart w:id="145" w:name="_Toc29435"/>
      <w:bookmarkStart w:id="146" w:name="_Toc1661"/>
      <w:bookmarkStart w:id="147" w:name="_Toc31753"/>
      <w:r>
        <w:rPr>
          <w:rFonts w:hint="eastAsia"/>
          <w:highlight w:val="none"/>
          <w:lang w:val="en-US" w:eastAsia="zh-CN"/>
        </w:rPr>
        <w:t>产品分级信息维护</w:t>
      </w:r>
      <w:bookmarkEnd w:id="143"/>
      <w:bookmarkEnd w:id="144"/>
      <w:bookmarkEnd w:id="145"/>
      <w:bookmarkEnd w:id="146"/>
      <w:bookmarkEnd w:id="147"/>
    </w:p>
    <w:p>
      <w:pPr>
        <w:pStyle w:val="24"/>
        <w:numPr>
          <w:ilvl w:val="0"/>
          <w:numId w:val="1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bookmarkStart w:id="148" w:name="_Toc14441"/>
      <w:bookmarkStart w:id="149" w:name="_Toc27727"/>
      <w:bookmarkStart w:id="150" w:name="_Toc9870"/>
      <w:r>
        <w:rPr>
          <w:rFonts w:hint="eastAsia"/>
          <w:b/>
          <w:bCs/>
          <w:highlight w:val="none"/>
          <w:lang w:val="en-US" w:eastAsia="zh-CN"/>
        </w:rPr>
        <w:t>操作说明</w:t>
      </w:r>
      <w:bookmarkEnd w:id="148"/>
      <w:bookmarkEnd w:id="149"/>
      <w:bookmarkEnd w:id="150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highlight w:val="none"/>
        </w:rPr>
        <w:t>，打开</w:t>
      </w:r>
      <w:r>
        <w:rPr>
          <w:rFonts w:hint="eastAsia"/>
          <w:highlight w:val="none"/>
          <w:lang w:val="en-US" w:eastAsia="zh-CN"/>
        </w:rPr>
        <w:t>产品分级信息维护界面，可在维护界面维护产品分级信息。</w:t>
      </w:r>
    </w:p>
    <w:p>
      <w:pPr>
        <w:pStyle w:val="24"/>
        <w:numPr>
          <w:ilvl w:val="0"/>
          <w:numId w:val="1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151" w:name="_Toc8159"/>
      <w:bookmarkStart w:id="152" w:name="_Toc24751"/>
      <w:bookmarkStart w:id="153" w:name="_Toc15847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  <w:bookmarkEnd w:id="151"/>
      <w:bookmarkEnd w:id="152"/>
      <w:bookmarkEnd w:id="153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hint="eastAsia"/>
          <w:b/>
          <w:bCs/>
          <w:highlight w:val="none"/>
          <w:lang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1701165"/>
            <wp:effectExtent l="9525" t="9525" r="24130" b="11430"/>
            <wp:docPr id="26" name="图片 26" descr="产品分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产品分级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1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154" w:name="_Toc22062"/>
      <w:bookmarkStart w:id="155" w:name="_Toc3759"/>
      <w:bookmarkStart w:id="156" w:name="_Toc7353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  <w:bookmarkEnd w:id="154"/>
      <w:bookmarkEnd w:id="155"/>
      <w:bookmarkEnd w:id="156"/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分级基本信息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分级名称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分级代码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级别类型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选项：1-A级  2-B级  3-C级  4-H级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默认加载产品“成立日期”；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到期日期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默认加载产品“到期日期”；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清算日期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默认加载产品“清算日期”；</w:t>
            </w:r>
          </w:p>
        </w:tc>
      </w:tr>
    </w:tbl>
    <w:p>
      <w:pPr>
        <w:shd w:val="clear"/>
        <w:spacing w:line="360" w:lineRule="auto"/>
        <w:rPr>
          <w:highlight w:val="none"/>
        </w:rPr>
      </w:pPr>
    </w:p>
    <w:p>
      <w:pPr>
        <w:shd w:val="clear"/>
        <w:spacing w:line="360" w:lineRule="auto"/>
        <w:rPr>
          <w:highlight w:val="none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eastAsia="zh-CN"/>
        </w:rPr>
      </w:pPr>
      <w:bookmarkStart w:id="157" w:name="_Toc28707"/>
      <w:bookmarkStart w:id="158" w:name="_Toc29818"/>
      <w:bookmarkStart w:id="159" w:name="_Toc22468"/>
      <w:bookmarkStart w:id="160" w:name="_Toc3445"/>
      <w:bookmarkStart w:id="161" w:name="_Toc20257"/>
      <w:bookmarkStart w:id="162" w:name="_Toc7865"/>
      <w:r>
        <w:rPr>
          <w:rFonts w:hint="eastAsia"/>
          <w:sz w:val="32"/>
          <w:szCs w:val="32"/>
          <w:highlight w:val="none"/>
          <w:lang w:eastAsia="zh-CN"/>
        </w:rPr>
        <w:t>账户管理</w:t>
      </w:r>
      <w:bookmarkEnd w:id="157"/>
      <w:bookmarkEnd w:id="158"/>
      <w:bookmarkEnd w:id="159"/>
      <w:bookmarkEnd w:id="160"/>
      <w:bookmarkEnd w:id="161"/>
      <w:bookmarkEnd w:id="162"/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eastAsia="zh-CN"/>
        </w:rPr>
      </w:pPr>
      <w:bookmarkStart w:id="163" w:name="_Toc25741"/>
      <w:bookmarkStart w:id="164" w:name="_Toc10964"/>
      <w:bookmarkStart w:id="165" w:name="_Toc21229"/>
      <w:bookmarkStart w:id="166" w:name="_Toc9782"/>
      <w:r>
        <w:rPr>
          <w:rFonts w:hint="eastAsia"/>
          <w:b/>
          <w:bCs/>
          <w:sz w:val="21"/>
          <w:szCs w:val="22"/>
          <w:highlight w:val="none"/>
          <w:lang w:eastAsia="zh-CN"/>
        </w:rPr>
        <w:t>菜单说明</w:t>
      </w:r>
      <w:bookmarkEnd w:id="163"/>
      <w:bookmarkEnd w:id="164"/>
      <w:bookmarkEnd w:id="165"/>
      <w:bookmarkEnd w:id="166"/>
    </w:p>
    <w:p>
      <w:pPr>
        <w:pStyle w:val="24"/>
        <w:numPr>
          <w:ilvl w:val="0"/>
          <w:numId w:val="3"/>
        </w:numPr>
        <w:shd w:val="clear"/>
        <w:rPr>
          <w:highlight w:val="none"/>
        </w:rPr>
      </w:pPr>
      <w:bookmarkStart w:id="167" w:name="_Toc13699"/>
      <w:r>
        <w:rPr>
          <w:rFonts w:hint="eastAsia"/>
          <w:highlight w:val="none"/>
        </w:rPr>
        <w:t>账户</w:t>
      </w:r>
      <w:r>
        <w:rPr>
          <w:highlight w:val="none"/>
        </w:rPr>
        <w:t>管理</w:t>
      </w:r>
      <w:bookmarkEnd w:id="167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</w:rPr>
        <w:t>运营账户</w:t>
      </w:r>
      <w:r>
        <w:rPr>
          <w:highlight w:val="none"/>
        </w:rPr>
        <w:t>管理</w:t>
      </w:r>
    </w:p>
    <w:p>
      <w:pPr>
        <w:pStyle w:val="24"/>
        <w:numPr>
          <w:ilvl w:val="0"/>
          <w:numId w:val="16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168" w:name="_Toc10191"/>
      <w:bookmarkStart w:id="169" w:name="_Toc12810"/>
      <w:bookmarkStart w:id="170" w:name="_Toc13110"/>
      <w:r>
        <w:rPr>
          <w:rFonts w:hint="eastAsia"/>
          <w:sz w:val="18"/>
          <w:highlight w:val="none"/>
        </w:rPr>
        <w:t>FA</w:t>
      </w:r>
      <w:r>
        <w:rPr>
          <w:sz w:val="18"/>
          <w:highlight w:val="none"/>
        </w:rPr>
        <w:t>账户</w:t>
      </w:r>
      <w:bookmarkEnd w:id="168"/>
      <w:bookmarkEnd w:id="169"/>
      <w:bookmarkEnd w:id="170"/>
    </w:p>
    <w:p>
      <w:pPr>
        <w:pStyle w:val="24"/>
        <w:numPr>
          <w:ilvl w:val="0"/>
          <w:numId w:val="16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171" w:name="_Toc26488"/>
      <w:bookmarkStart w:id="172" w:name="_Toc5836"/>
      <w:bookmarkStart w:id="173" w:name="_Toc32250"/>
      <w:r>
        <w:rPr>
          <w:rFonts w:hint="eastAsia"/>
          <w:sz w:val="18"/>
          <w:highlight w:val="none"/>
        </w:rPr>
        <w:t>TA</w:t>
      </w:r>
      <w:r>
        <w:rPr>
          <w:sz w:val="18"/>
          <w:highlight w:val="none"/>
        </w:rPr>
        <w:t>账户</w:t>
      </w:r>
      <w:bookmarkEnd w:id="171"/>
      <w:bookmarkEnd w:id="172"/>
      <w:bookmarkEnd w:id="173"/>
    </w:p>
    <w:p>
      <w:pPr>
        <w:pStyle w:val="24"/>
        <w:numPr>
          <w:ilvl w:val="0"/>
          <w:numId w:val="4"/>
        </w:numPr>
        <w:shd w:val="clear"/>
        <w:spacing w:line="360" w:lineRule="auto"/>
        <w:ind w:left="1050" w:leftChars="500" w:firstLineChars="0"/>
        <w:rPr>
          <w:highlight w:val="none"/>
        </w:rPr>
      </w:pPr>
      <w:r>
        <w:rPr>
          <w:rFonts w:hint="eastAsia"/>
          <w:highlight w:val="none"/>
        </w:rPr>
        <w:t>公司账户管理</w:t>
      </w:r>
    </w:p>
    <w:p>
      <w:pPr>
        <w:pStyle w:val="24"/>
        <w:numPr>
          <w:ilvl w:val="0"/>
          <w:numId w:val="16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174" w:name="_Toc16741"/>
      <w:bookmarkStart w:id="175" w:name="_Toc15630"/>
      <w:bookmarkStart w:id="176" w:name="_Toc2578"/>
      <w:r>
        <w:rPr>
          <w:rFonts w:hint="eastAsia"/>
          <w:sz w:val="18"/>
          <w:highlight w:val="none"/>
        </w:rPr>
        <w:t>母公司</w:t>
      </w:r>
      <w:bookmarkEnd w:id="174"/>
      <w:bookmarkEnd w:id="175"/>
      <w:bookmarkEnd w:id="176"/>
    </w:p>
    <w:p>
      <w:pPr>
        <w:pStyle w:val="24"/>
        <w:numPr>
          <w:ilvl w:val="0"/>
          <w:numId w:val="16"/>
        </w:numPr>
        <w:shd w:val="clear"/>
        <w:spacing w:line="360" w:lineRule="auto"/>
        <w:ind w:left="1470" w:leftChars="700" w:firstLineChars="0"/>
        <w:rPr>
          <w:sz w:val="18"/>
          <w:highlight w:val="none"/>
        </w:rPr>
      </w:pPr>
      <w:bookmarkStart w:id="177" w:name="_Toc20510"/>
      <w:bookmarkStart w:id="178" w:name="_Toc16223"/>
      <w:bookmarkStart w:id="179" w:name="_Toc5343"/>
      <w:r>
        <w:rPr>
          <w:rFonts w:hint="eastAsia"/>
          <w:sz w:val="18"/>
          <w:highlight w:val="none"/>
        </w:rPr>
        <w:t>子公司</w:t>
      </w:r>
      <w:bookmarkEnd w:id="177"/>
      <w:bookmarkEnd w:id="178"/>
      <w:bookmarkEnd w:id="179"/>
    </w:p>
    <w:p>
      <w:pPr>
        <w:pStyle w:val="24"/>
        <w:numPr>
          <w:ilvl w:val="0"/>
          <w:numId w:val="0"/>
        </w:numPr>
        <w:shd w:val="clear"/>
        <w:spacing w:line="360" w:lineRule="auto"/>
        <w:ind w:leftChars="700"/>
        <w:rPr>
          <w:sz w:val="18"/>
          <w:highlight w:val="none"/>
        </w:rPr>
      </w:pPr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eastAsia="zh-CN"/>
        </w:rPr>
      </w:pPr>
      <w:bookmarkStart w:id="180" w:name="_Toc24274"/>
      <w:bookmarkStart w:id="181" w:name="_Toc12255"/>
      <w:bookmarkStart w:id="182" w:name="_Toc15137"/>
      <w:bookmarkStart w:id="183" w:name="_Toc29176"/>
      <w:r>
        <w:rPr>
          <w:rFonts w:hint="eastAsia"/>
          <w:b/>
          <w:bCs/>
          <w:sz w:val="21"/>
          <w:szCs w:val="22"/>
          <w:highlight w:val="none"/>
          <w:lang w:eastAsia="zh-CN"/>
        </w:rPr>
        <w:t>操作说明</w:t>
      </w:r>
      <w:bookmarkEnd w:id="180"/>
      <w:bookmarkEnd w:id="181"/>
      <w:bookmarkEnd w:id="182"/>
      <w:bookmarkEnd w:id="183"/>
    </w:p>
    <w:p>
      <w:pPr>
        <w:pStyle w:val="24"/>
        <w:numPr>
          <w:ilvl w:val="0"/>
          <w:numId w:val="17"/>
        </w:numPr>
        <w:shd w:val="clear"/>
        <w:spacing w:line="360" w:lineRule="auto"/>
        <w:ind w:firstLineChars="0"/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t>菜单中的FA账户/TA账户</w:t>
      </w:r>
      <w:r>
        <w:rPr>
          <w:rFonts w:hint="eastAsia"/>
          <w:highlight w:val="none"/>
        </w:rPr>
        <w:t>，在</w:t>
      </w:r>
      <w:r>
        <w:rPr>
          <w:highlight w:val="none"/>
        </w:rPr>
        <w:t>界面中</w:t>
      </w:r>
      <w:r>
        <w:rPr>
          <w:rFonts w:hint="eastAsia"/>
          <w:highlight w:val="none"/>
        </w:rPr>
        <w:t>加载</w:t>
      </w:r>
      <w:r>
        <w:rPr>
          <w:highlight w:val="none"/>
        </w:rPr>
        <w:t>对应的账户</w:t>
      </w:r>
      <w:r>
        <w:rPr>
          <w:rFonts w:hint="eastAsia"/>
          <w:highlight w:val="none"/>
        </w:rPr>
        <w:t>结构</w:t>
      </w:r>
      <w:r>
        <w:rPr>
          <w:highlight w:val="none"/>
        </w:rPr>
        <w:t>。</w:t>
      </w:r>
    </w:p>
    <w:p>
      <w:pPr>
        <w:pStyle w:val="24"/>
        <w:numPr>
          <w:ilvl w:val="0"/>
          <w:numId w:val="17"/>
        </w:numPr>
        <w:shd w:val="clear"/>
        <w:spacing w:line="360" w:lineRule="auto"/>
        <w:ind w:firstLineChars="0"/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t>菜单中的母公司</w:t>
      </w:r>
      <w:r>
        <w:rPr>
          <w:rFonts w:hint="eastAsia"/>
          <w:highlight w:val="none"/>
        </w:rPr>
        <w:t>/子公司</w:t>
      </w:r>
      <w:r>
        <w:rPr>
          <w:highlight w:val="none"/>
        </w:rPr>
        <w:t>，进入母公司账户管理</w:t>
      </w:r>
      <w:r>
        <w:rPr>
          <w:rFonts w:hint="eastAsia"/>
          <w:highlight w:val="none"/>
        </w:rPr>
        <w:t>/子公司</w:t>
      </w:r>
      <w:r>
        <w:rPr>
          <w:highlight w:val="none"/>
        </w:rPr>
        <w:t>账户管理界面。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highlight w:val="none"/>
        </w:rPr>
      </w:pPr>
    </w:p>
    <w:p>
      <w:pPr>
        <w:pStyle w:val="24"/>
        <w:numPr>
          <w:ilvl w:val="0"/>
          <w:numId w:val="1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0" distR="0">
            <wp:extent cx="5274310" cy="2818130"/>
            <wp:effectExtent l="9525" t="9525" r="19685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highlight w:val="none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eastAsia="zh-CN"/>
        </w:rPr>
      </w:pPr>
      <w:bookmarkStart w:id="184" w:name="_Toc11886"/>
      <w:bookmarkStart w:id="185" w:name="_Toc9884"/>
      <w:bookmarkStart w:id="186" w:name="_Toc13967"/>
      <w:bookmarkStart w:id="187" w:name="_Toc18543"/>
      <w:r>
        <w:rPr>
          <w:rFonts w:hint="eastAsia"/>
          <w:sz w:val="28"/>
          <w:szCs w:val="28"/>
          <w:highlight w:val="none"/>
          <w:lang w:eastAsia="zh-CN"/>
        </w:rPr>
        <w:t>账户管理主界面</w:t>
      </w:r>
      <w:bookmarkEnd w:id="184"/>
      <w:bookmarkEnd w:id="185"/>
      <w:bookmarkEnd w:id="186"/>
      <w:bookmarkEnd w:id="187"/>
    </w:p>
    <w:p>
      <w:pPr>
        <w:pStyle w:val="24"/>
        <w:numPr>
          <w:ilvl w:val="0"/>
          <w:numId w:val="1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操作说明</w:t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1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/>
          <w:b w:val="0"/>
          <w:bCs/>
          <w:highlight w:val="none"/>
          <w:lang w:val="en-US" w:eastAsia="zh-CN"/>
        </w:rPr>
        <w:t>在账户信息主界面，点击相应按钮可以进行账户的新增、修改、复制、删除、审核、</w:t>
      </w:r>
      <w:r>
        <w:rPr>
          <w:rFonts w:hint="eastAsia"/>
          <w:b w:val="0"/>
          <w:bCs/>
          <w:highlight w:val="none"/>
          <w:lang w:val="en-US" w:eastAsia="zh-CN"/>
        </w:rPr>
        <w:tab/>
      </w:r>
      <w:r>
        <w:rPr>
          <w:rFonts w:hint="eastAsia"/>
          <w:b w:val="0"/>
          <w:bCs/>
          <w:highlight w:val="none"/>
          <w:lang w:val="en-US" w:eastAsia="zh-CN"/>
        </w:rPr>
        <w:t>反审核、查询等操作。</w:t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</w:p>
    <w:p>
      <w:pPr>
        <w:pStyle w:val="24"/>
        <w:numPr>
          <w:ilvl w:val="0"/>
          <w:numId w:val="1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5265420" cy="1956435"/>
            <wp:effectExtent l="9525" t="9525" r="13335" b="15240"/>
            <wp:docPr id="16" name="图片 16" descr="账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账户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64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</w:p>
    <w:p>
      <w:pPr>
        <w:pStyle w:val="24"/>
        <w:numPr>
          <w:ilvl w:val="0"/>
          <w:numId w:val="1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</w:rPr>
      </w:pPr>
      <w:bookmarkStart w:id="188" w:name="_Toc8368"/>
      <w:bookmarkStart w:id="189" w:name="_Toc25016"/>
      <w:bookmarkStart w:id="190" w:name="_Toc5304"/>
      <w:bookmarkStart w:id="191" w:name="_Toc13350"/>
      <w:r>
        <w:rPr>
          <w:rFonts w:hint="eastAsia"/>
          <w:sz w:val="28"/>
          <w:szCs w:val="28"/>
          <w:highlight w:val="none"/>
          <w:lang w:eastAsia="zh-CN"/>
        </w:rPr>
        <w:t>账户信息</w:t>
      </w:r>
      <w:r>
        <w:rPr>
          <w:rFonts w:hint="eastAsia"/>
          <w:sz w:val="28"/>
          <w:szCs w:val="28"/>
          <w:highlight w:val="none"/>
        </w:rPr>
        <w:t>维护</w:t>
      </w:r>
      <w:bookmarkEnd w:id="188"/>
      <w:bookmarkEnd w:id="189"/>
      <w:bookmarkEnd w:id="190"/>
      <w:bookmarkEnd w:id="191"/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账户管理主界面，点击“添加”按钮，打开账户维护界面。</w:t>
      </w:r>
    </w:p>
    <w:p>
      <w:pPr>
        <w:shd w:val="clear"/>
        <w:spacing w:line="360" w:lineRule="auto"/>
        <w:rPr>
          <w:highlight w:val="none"/>
        </w:rPr>
      </w:pPr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192" w:name="_2.2维护界面按钮"/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按钮说明</w:t>
      </w:r>
    </w:p>
    <w:p>
      <w:pPr>
        <w:pStyle w:val="24"/>
        <w:numPr>
          <w:ilvl w:val="2"/>
          <w:numId w:val="3"/>
        </w:numPr>
        <w:shd w:val="clear"/>
        <w:spacing w:line="360" w:lineRule="auto"/>
        <w:ind w:left="2100" w:leftChars="0" w:firstLineChars="0"/>
        <w:rPr>
          <w:rFonts w:hint="eastAsia"/>
          <w:highlight w:val="none"/>
        </w:rPr>
      </w:pPr>
      <w:r>
        <w:rPr>
          <w:rFonts w:hint="eastAsia"/>
          <w:highlight w:val="none"/>
        </w:rPr>
        <w:t>保存</w:t>
      </w:r>
    </w:p>
    <w:p>
      <w:pPr>
        <w:pStyle w:val="24"/>
        <w:numPr>
          <w:ilvl w:val="2"/>
          <w:numId w:val="3"/>
        </w:numPr>
        <w:shd w:val="clear"/>
        <w:spacing w:line="360" w:lineRule="auto"/>
        <w:ind w:left="2100" w:leftChars="0" w:firstLineChars="0"/>
        <w:rPr>
          <w:highlight w:val="none"/>
        </w:rPr>
      </w:pPr>
      <w:r>
        <w:rPr>
          <w:rFonts w:hint="eastAsia"/>
          <w:highlight w:val="none"/>
        </w:rPr>
        <w:t>新增</w:t>
      </w:r>
    </w:p>
    <w:p>
      <w:pPr>
        <w:pStyle w:val="24"/>
        <w:numPr>
          <w:ilvl w:val="2"/>
          <w:numId w:val="3"/>
        </w:numPr>
        <w:shd w:val="clear"/>
        <w:spacing w:line="360" w:lineRule="auto"/>
        <w:ind w:left="2100" w:leftChars="0" w:firstLineChars="0"/>
        <w:rPr>
          <w:highlight w:val="none"/>
        </w:rPr>
      </w:pPr>
      <w:r>
        <w:rPr>
          <w:rFonts w:hint="eastAsia"/>
          <w:highlight w:val="none"/>
        </w:rPr>
        <w:t>修改</w:t>
      </w:r>
    </w:p>
    <w:p>
      <w:pPr>
        <w:pStyle w:val="24"/>
        <w:numPr>
          <w:ilvl w:val="2"/>
          <w:numId w:val="3"/>
        </w:numPr>
        <w:shd w:val="clear"/>
        <w:spacing w:line="360" w:lineRule="auto"/>
        <w:ind w:left="2100" w:leftChars="0" w:firstLineChars="0"/>
        <w:rPr>
          <w:highlight w:val="none"/>
        </w:rPr>
      </w:pPr>
      <w:r>
        <w:rPr>
          <w:rFonts w:hint="eastAsia"/>
          <w:highlight w:val="none"/>
        </w:rPr>
        <w:t>复制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2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bookmarkEnd w:id="192"/>
    <w:p>
      <w:pPr>
        <w:numPr>
          <w:ilvl w:val="0"/>
          <w:numId w:val="21"/>
        </w:numPr>
        <w:shd w:val="clear"/>
        <w:spacing w:line="360" w:lineRule="auto"/>
        <w:ind w:left="1265" w:leftChars="0" w:hanging="425" w:firstLineChars="0"/>
        <w:rPr>
          <w:highlight w:val="none"/>
        </w:rPr>
      </w:pPr>
      <w:r>
        <w:rPr>
          <w:rFonts w:hint="eastAsia"/>
          <w:highlight w:val="none"/>
          <w:lang w:eastAsia="zh-CN"/>
        </w:rPr>
        <w:t>界面按钮</w:t>
      </w:r>
    </w:p>
    <w:p>
      <w:pPr>
        <w:shd w:val="clear"/>
        <w:spacing w:line="360" w:lineRule="auto"/>
        <w:jc w:val="center"/>
        <w:rPr>
          <w:rFonts w:hint="eastAsia"/>
          <w:highlight w:val="none"/>
        </w:rPr>
      </w:pPr>
      <w:r>
        <w:rPr>
          <w:highlight w:val="none"/>
        </w:rPr>
        <w:drawing>
          <wp:inline distT="0" distB="0" distL="0" distR="0">
            <wp:extent cx="3187700" cy="1548765"/>
            <wp:effectExtent l="0" t="0" r="1270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5592" cy="15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hd w:val="clear"/>
        <w:spacing w:line="360" w:lineRule="auto"/>
        <w:ind w:left="1265" w:leftChars="0" w:hanging="425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账户信息</w:t>
      </w:r>
    </w:p>
    <w:p>
      <w:pPr>
        <w:shd w:val="clear"/>
        <w:spacing w:line="360" w:lineRule="auto"/>
        <w:jc w:val="center"/>
        <w:rPr>
          <w:highlight w:val="none"/>
        </w:rPr>
      </w:pPr>
      <w:r>
        <w:rPr>
          <w:highlight w:val="none"/>
        </w:rPr>
        <w:drawing>
          <wp:inline distT="0" distB="0" distL="0" distR="0">
            <wp:extent cx="3625215" cy="2217420"/>
            <wp:effectExtent l="0" t="0" r="19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l="-420" t="571" r="420" b="17878"/>
                    <a:stretch>
                      <a:fillRect/>
                    </a:stretch>
                  </pic:blipFill>
                  <pic:spPr>
                    <a:xfrm>
                      <a:off x="0" y="0"/>
                      <a:ext cx="3635932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hd w:val="clear"/>
        <w:spacing w:line="360" w:lineRule="auto"/>
        <w:ind w:left="1265" w:leftChars="0" w:hanging="425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账户附件</w:t>
      </w:r>
    </w:p>
    <w:p>
      <w:pPr>
        <w:shd w:val="clear"/>
        <w:spacing w:line="360" w:lineRule="auto"/>
        <w:jc w:val="center"/>
        <w:rPr>
          <w:highlight w:val="none"/>
        </w:rPr>
      </w:pPr>
      <w:r>
        <w:rPr>
          <w:highlight w:val="none"/>
        </w:rPr>
        <w:drawing>
          <wp:inline distT="0" distB="0" distL="0" distR="0">
            <wp:extent cx="3727450" cy="1481455"/>
            <wp:effectExtent l="0" t="0" r="635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637" cy="14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hd w:val="clear"/>
        <w:spacing w:line="360" w:lineRule="auto"/>
        <w:ind w:left="1265" w:leftChars="0" w:hanging="425" w:firstLineChars="0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联系人信息</w:t>
      </w:r>
    </w:p>
    <w:p>
      <w:pPr>
        <w:shd w:val="clear"/>
        <w:spacing w:line="360" w:lineRule="auto"/>
        <w:jc w:val="center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0" distR="0">
            <wp:extent cx="4150360" cy="1624965"/>
            <wp:effectExtent l="0" t="0" r="1016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126" cy="16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193" w:name="_Toc5047"/>
      <w:bookmarkStart w:id="194" w:name="_Toc31941"/>
      <w:r>
        <w:rPr>
          <w:rFonts w:hint="eastAsia"/>
          <w:highlight w:val="none"/>
          <w:lang w:val="en-US" w:eastAsia="zh-CN"/>
        </w:rPr>
        <w:t>公司账户</w:t>
      </w:r>
      <w:bookmarkEnd w:id="193"/>
      <w:bookmarkEnd w:id="194"/>
    </w:p>
    <w:p>
      <w:pPr>
        <w:pStyle w:val="24"/>
        <w:numPr>
          <w:ilvl w:val="0"/>
          <w:numId w:val="22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4785" cy="6523355"/>
            <wp:effectExtent l="9525" t="9525" r="13970" b="203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23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2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加载所有系统所有的机构信息；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1-一般账户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2-基本账户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3-风险准备金账户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195" w:name="_Toc16724"/>
      <w:bookmarkStart w:id="196" w:name="_Toc28898"/>
      <w:r>
        <w:rPr>
          <w:rFonts w:hint="eastAsia"/>
          <w:highlight w:val="none"/>
          <w:lang w:val="en-US" w:eastAsia="zh-CN"/>
        </w:rPr>
        <w:t>账户通用界面（1）</w:t>
      </w:r>
      <w:bookmarkEnd w:id="195"/>
      <w:bookmarkEnd w:id="196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此账户界面复用于多种类型的账户（投资顾问费账户、中债结算服务费、委托人账户、投资标的账户），且都需和产品进行关联。</w:t>
      </w:r>
    </w:p>
    <w:p>
      <w:pPr>
        <w:pStyle w:val="24"/>
        <w:numPr>
          <w:ilvl w:val="0"/>
          <w:numId w:val="23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5435600"/>
            <wp:effectExtent l="9525" t="9525" r="10160" b="10795"/>
            <wp:docPr id="29" name="图片 29" descr="关联产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关联产品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356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23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加载所有系统所有的机构信息；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</w:rPr>
      </w:pPr>
      <w:bookmarkStart w:id="197" w:name="_Toc1420"/>
      <w:bookmarkStart w:id="198" w:name="_Toc5015"/>
      <w:bookmarkStart w:id="199" w:name="_账户通用界面（2）"/>
      <w:r>
        <w:rPr>
          <w:rFonts w:hint="eastAsia"/>
          <w:highlight w:val="none"/>
          <w:lang w:val="en-US" w:eastAsia="zh-CN"/>
        </w:rPr>
        <w:t>账户通用界面（2）</w:t>
      </w:r>
      <w:bookmarkEnd w:id="197"/>
      <w:bookmarkEnd w:id="198"/>
    </w:p>
    <w:bookmarkEnd w:id="199"/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此账户界面适用于多种类型的账户（上清所结算服务费、外汇交易中心交易手续费账户、审计费账户、信息披露费账户、总清算账户、费用清算账户、委贷类账户、销售机构账户），此类账户无需和产品进行关联。</w:t>
      </w:r>
    </w:p>
    <w:p>
      <w:pPr>
        <w:pStyle w:val="24"/>
        <w:numPr>
          <w:ilvl w:val="0"/>
          <w:numId w:val="2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4720590"/>
            <wp:effectExtent l="9525" t="9525" r="10160" b="9525"/>
            <wp:docPr id="31" name="图片 31" descr="不关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不关联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0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加载所有系统所有的机构信息；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00" w:name="_Toc9144"/>
      <w:bookmarkStart w:id="201" w:name="_Toc1070"/>
      <w:r>
        <w:rPr>
          <w:rFonts w:hint="eastAsia"/>
          <w:highlight w:val="none"/>
          <w:lang w:val="en-US" w:eastAsia="zh-CN"/>
        </w:rPr>
        <w:t>券商佣金账户</w:t>
      </w:r>
      <w:bookmarkEnd w:id="200"/>
      <w:bookmarkEnd w:id="201"/>
    </w:p>
    <w:p>
      <w:pPr>
        <w:pStyle w:val="24"/>
        <w:numPr>
          <w:ilvl w:val="0"/>
          <w:numId w:val="2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055" cy="5219065"/>
            <wp:effectExtent l="9525" t="9525" r="12700" b="13970"/>
            <wp:docPr id="32" name="图片 32" descr="券商佣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券商佣金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19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加载“证券公司”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交易单元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根据“账户所属机构”，加载该券商项下所有的交易单元记录；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02" w:name="_Toc26406"/>
      <w:bookmarkStart w:id="203" w:name="_Toc10121"/>
      <w:r>
        <w:rPr>
          <w:rFonts w:hint="eastAsia"/>
          <w:highlight w:val="none"/>
          <w:lang w:val="en-US" w:eastAsia="zh-CN"/>
        </w:rPr>
        <w:t>上市费账户</w:t>
      </w:r>
      <w:bookmarkEnd w:id="202"/>
      <w:bookmarkEnd w:id="203"/>
    </w:p>
    <w:p>
      <w:pPr>
        <w:pStyle w:val="24"/>
        <w:numPr>
          <w:ilvl w:val="0"/>
          <w:numId w:val="26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5147310"/>
            <wp:effectExtent l="9525" t="9525" r="23495" b="9525"/>
            <wp:docPr id="33" name="图片 33" descr="上市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上市费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73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6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交易市场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1-上海证券交易所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2-深圳证券交易所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04" w:name="_Toc18789"/>
      <w:bookmarkStart w:id="205" w:name="_Toc27573"/>
      <w:r>
        <w:rPr>
          <w:rFonts w:hint="eastAsia"/>
          <w:highlight w:val="none"/>
          <w:lang w:val="en-US" w:eastAsia="zh-CN"/>
        </w:rPr>
        <w:t>托管户</w:t>
      </w:r>
      <w:bookmarkEnd w:id="204"/>
      <w:bookmarkEnd w:id="205"/>
    </w:p>
    <w:p>
      <w:pPr>
        <w:pStyle w:val="24"/>
        <w:numPr>
          <w:ilvl w:val="0"/>
          <w:numId w:val="27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6162040"/>
            <wp:effectExtent l="9525" t="9525" r="21590" b="15875"/>
            <wp:docPr id="34" name="图片 34" descr="托管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托管户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620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7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IPO备案账户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选项：1-是  2-否；默认值：是；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银证转账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选项：1-是  2-否；默认值：否；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银期转账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选项：1-是  2-否；默认值：否；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06" w:name="_Toc30070"/>
      <w:bookmarkStart w:id="207" w:name="_Toc14191"/>
      <w:r>
        <w:rPr>
          <w:rFonts w:hint="eastAsia"/>
          <w:highlight w:val="none"/>
          <w:lang w:val="en-US" w:eastAsia="zh-CN"/>
        </w:rPr>
        <w:t>存款账户</w:t>
      </w:r>
      <w:bookmarkEnd w:id="206"/>
      <w:bookmarkEnd w:id="207"/>
    </w:p>
    <w:p>
      <w:pPr>
        <w:pStyle w:val="24"/>
        <w:numPr>
          <w:ilvl w:val="0"/>
          <w:numId w:val="28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6899275"/>
            <wp:effectExtent l="9525" t="9525" r="23495" b="10160"/>
            <wp:docPr id="35" name="图片 35" descr="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存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92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2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预留印鉴情况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托管人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托管人地址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联系电话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存款行名称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存款行地址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延期利率一段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延期利率二段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08" w:name="_Toc13888"/>
      <w:bookmarkStart w:id="209" w:name="_Toc23560"/>
      <w:r>
        <w:rPr>
          <w:rFonts w:hint="eastAsia"/>
          <w:highlight w:val="none"/>
          <w:lang w:val="en-US" w:eastAsia="zh-CN"/>
        </w:rPr>
        <w:t>证券保证金账户</w:t>
      </w:r>
      <w:bookmarkEnd w:id="208"/>
      <w:bookmarkEnd w:id="209"/>
    </w:p>
    <w:p>
      <w:pPr>
        <w:pStyle w:val="24"/>
        <w:numPr>
          <w:ilvl w:val="0"/>
          <w:numId w:val="29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4785" cy="5920105"/>
            <wp:effectExtent l="9525" t="9525" r="13970" b="13970"/>
            <wp:docPr id="37" name="图片 37" descr="证券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证券保证金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920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29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/资金密码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密码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默认密文，点击“解锁”，输入并通过授权码验证后，展示明文；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10" w:name="_Toc18679"/>
      <w:bookmarkStart w:id="211" w:name="_Toc2369"/>
      <w:r>
        <w:rPr>
          <w:rFonts w:hint="eastAsia"/>
          <w:highlight w:val="none"/>
          <w:lang w:val="en-US" w:eastAsia="zh-CN"/>
        </w:rPr>
        <w:t>中登账户</w:t>
      </w:r>
      <w:bookmarkEnd w:id="210"/>
      <w:bookmarkEnd w:id="211"/>
    </w:p>
    <w:p>
      <w:pPr>
        <w:pStyle w:val="24"/>
        <w:numPr>
          <w:ilvl w:val="0"/>
          <w:numId w:val="30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5641340"/>
            <wp:effectExtent l="9525" t="9525" r="12065" b="18415"/>
            <wp:docPr id="38" name="图片 38" descr="中登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中登账户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41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结算编号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销售商代码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eastAsia="zh-CN"/>
        </w:rPr>
      </w:pPr>
      <w:bookmarkStart w:id="212" w:name="_Toc402"/>
      <w:bookmarkStart w:id="213" w:name="_Toc15720"/>
      <w:r>
        <w:rPr>
          <w:rFonts w:hint="eastAsia"/>
          <w:highlight w:val="none"/>
          <w:lang w:eastAsia="zh-CN"/>
        </w:rPr>
        <w:t>证券账户</w:t>
      </w:r>
      <w:bookmarkEnd w:id="212"/>
      <w:bookmarkEnd w:id="213"/>
    </w:p>
    <w:p>
      <w:pPr>
        <w:pStyle w:val="24"/>
        <w:numPr>
          <w:ilvl w:val="0"/>
          <w:numId w:val="31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drawing>
          <wp:inline distT="0" distB="0" distL="114300" distR="114300">
            <wp:extent cx="5273040" cy="6029325"/>
            <wp:effectExtent l="9525" t="9525" r="20955" b="11430"/>
            <wp:docPr id="40" name="图片 40" descr="证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证券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293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eastAsia="zh-CN"/>
        </w:rPr>
      </w:pPr>
    </w:p>
    <w:p>
      <w:pPr>
        <w:pStyle w:val="24"/>
        <w:numPr>
          <w:ilvl w:val="0"/>
          <w:numId w:val="31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一码通证券账户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其他信息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交易市场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1-上海证券交易所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2-深圳证券交易所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14" w:name="_Toc5833"/>
      <w:bookmarkStart w:id="215" w:name="_Toc26005"/>
      <w:r>
        <w:rPr>
          <w:rFonts w:hint="eastAsia"/>
          <w:highlight w:val="none"/>
          <w:lang w:val="en-US" w:eastAsia="zh-CN"/>
        </w:rPr>
        <w:t>基金账户</w:t>
      </w:r>
      <w:bookmarkEnd w:id="214"/>
      <w:bookmarkEnd w:id="215"/>
    </w:p>
    <w:p>
      <w:pPr>
        <w:pStyle w:val="24"/>
        <w:numPr>
          <w:ilvl w:val="0"/>
          <w:numId w:val="32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4498340"/>
            <wp:effectExtent l="9525" t="9525" r="13335" b="18415"/>
            <wp:docPr id="42" name="图片 42" descr="基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基金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98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2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注册登记机构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1-中登深圳TA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2-中登上海TA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3-自建TA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其他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当“注册登记机构”=‘其他’时，可以编辑；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可输入多个交易账号；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多个交易账号之间用“，”分隔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/资金密码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密码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默认密文，点击“解锁”，输入并通过授权码验证后，展示明文；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16" w:name="_Toc27968"/>
      <w:bookmarkStart w:id="217" w:name="_Toc12251"/>
      <w:r>
        <w:rPr>
          <w:rFonts w:hint="eastAsia"/>
          <w:highlight w:val="none"/>
          <w:lang w:val="en-US" w:eastAsia="zh-CN"/>
        </w:rPr>
        <w:t>期货账户</w:t>
      </w:r>
      <w:bookmarkEnd w:id="216"/>
      <w:bookmarkEnd w:id="217"/>
    </w:p>
    <w:p>
      <w:pPr>
        <w:pStyle w:val="24"/>
        <w:numPr>
          <w:ilvl w:val="0"/>
          <w:numId w:val="33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4785" cy="7515860"/>
            <wp:effectExtent l="9525" t="9525" r="13970" b="18415"/>
            <wp:docPr id="20" name="图片 20" descr="期货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期货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5158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3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pPr w:leftFromText="180" w:rightFromText="180" w:vertAnchor="text" w:horzAnchor="page" w:tblpX="1770" w:tblpY="462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期货资金账号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/资金密码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密码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默认密文，点击“解锁”，输入并通过授权码验证后，展示明文；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监控中心账号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监控中心密码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密码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默认密文，点击“解锁”，输入并通过授权码验证后，展示明文；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产品信息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资金账户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默认：期货公司保证金账户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期货编码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交易市场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1-中国金融期货交易所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2-郑州商品期货交易所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3-大连商品期货交易所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4-上海商品期货交易所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交易类型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选项：1-投机  2-套利  3-套保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" w:type="dxa"/>
            <w:vMerge w:val="continue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编码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18" w:name="_Toc28156"/>
      <w:bookmarkStart w:id="219" w:name="_Toc5771"/>
      <w:r>
        <w:rPr>
          <w:rFonts w:hint="eastAsia"/>
          <w:highlight w:val="none"/>
          <w:lang w:eastAsia="zh-CN"/>
        </w:rPr>
        <w:t>直销账户</w:t>
      </w:r>
      <w:bookmarkEnd w:id="218"/>
      <w:bookmarkEnd w:id="219"/>
    </w:p>
    <w:p>
      <w:pPr>
        <w:pStyle w:val="24"/>
        <w:numPr>
          <w:ilvl w:val="0"/>
          <w:numId w:val="34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5285740"/>
            <wp:effectExtent l="9525" t="9525" r="24130" b="23495"/>
            <wp:docPr id="1" name="图片 1" descr="直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直销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857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4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ind w:left="0" w:leftChars="0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校验唯一性；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大额支付号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账户所属机构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加载所有系统所有的机构信息；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利率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保留四位小数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用途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Align w:val="top"/>
          </w:tcPr>
          <w:p>
            <w:pPr>
              <w:shd w:val="clear"/>
              <w:spacing w:line="24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其他信息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细分类型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1-柜台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2-电商</w:t>
            </w: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20" w:name="_Toc7060"/>
      <w:bookmarkStart w:id="221" w:name="_Toc22692"/>
      <w:r>
        <w:rPr>
          <w:rFonts w:hint="eastAsia"/>
          <w:highlight w:val="none"/>
          <w:lang w:val="en-US" w:eastAsia="zh-CN"/>
        </w:rPr>
        <w:t>中债银行间债券账户</w:t>
      </w:r>
      <w:bookmarkEnd w:id="220"/>
      <w:bookmarkEnd w:id="221"/>
    </w:p>
    <w:p>
      <w:pPr>
        <w:pStyle w:val="24"/>
        <w:numPr>
          <w:ilvl w:val="0"/>
          <w:numId w:val="35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6233795"/>
            <wp:effectExtent l="9525" t="9525" r="21590" b="20320"/>
            <wp:docPr id="43" name="图片 43" descr="中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中债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337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5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默认：银行间市场清算所股份有限公司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交易市场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默认：中国银行间交易市场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产品信息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银行将资金账户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默认：上清所DVP账户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银行间债券账户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默认：上清所债券账户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22" w:name="_Toc3799"/>
      <w:bookmarkStart w:id="223" w:name="_Toc7116"/>
      <w:r>
        <w:rPr>
          <w:rFonts w:hint="eastAsia"/>
          <w:highlight w:val="none"/>
          <w:lang w:val="en-US" w:eastAsia="zh-CN"/>
        </w:rPr>
        <w:t>上清所银行间债券账户</w:t>
      </w:r>
      <w:bookmarkEnd w:id="222"/>
      <w:bookmarkEnd w:id="223"/>
    </w:p>
    <w:p>
      <w:pPr>
        <w:pStyle w:val="24"/>
        <w:numPr>
          <w:ilvl w:val="0"/>
          <w:numId w:val="36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6118225"/>
            <wp:effectExtent l="9525" t="9525" r="12065" b="13970"/>
            <wp:docPr id="44" name="图片 44" descr="上清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上清所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18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4"/>
        <w:numPr>
          <w:ilvl w:val="0"/>
          <w:numId w:val="36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账户信息</w:t>
            </w: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默认：中央国债登记结算有限责任公司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交易市场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默认：中国银行间交易市场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销户日期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top"/>
          </w:tcPr>
          <w:p>
            <w:pPr>
              <w:shd w:val="clear"/>
              <w:spacing w:line="360" w:lineRule="auto"/>
              <w:rPr>
                <w:highlight w:val="no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产品信息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加载“产品全称”对应的“资产代码”；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银行将资金账户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默认：中债DVP账户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shd w:val="clear"/>
              <w:spacing w:line="24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银行间债券账户</w:t>
            </w: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默认：中债债券账户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账户名称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shd w:val="clear" w:color="auto" w:fill="auto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bookmarkStart w:id="224" w:name="_Toc5048"/>
      <w:bookmarkStart w:id="225" w:name="_Toc19971"/>
      <w:bookmarkStart w:id="226" w:name="_Toc15429"/>
      <w:bookmarkStart w:id="227" w:name="_Toc12846"/>
      <w:bookmarkStart w:id="228" w:name="_Toc24220"/>
      <w:bookmarkStart w:id="229" w:name="_Toc18874"/>
      <w:r>
        <w:rPr>
          <w:rFonts w:hint="eastAsia"/>
          <w:sz w:val="32"/>
          <w:szCs w:val="32"/>
          <w:highlight w:val="none"/>
          <w:lang w:val="en-US" w:eastAsia="zh-CN"/>
        </w:rPr>
        <w:t>公共功能</w:t>
      </w:r>
      <w:bookmarkEnd w:id="224"/>
      <w:bookmarkEnd w:id="225"/>
      <w:bookmarkEnd w:id="226"/>
      <w:bookmarkEnd w:id="227"/>
      <w:bookmarkEnd w:id="228"/>
      <w:bookmarkEnd w:id="229"/>
    </w:p>
    <w:p>
      <w:pPr>
        <w:pStyle w:val="24"/>
        <w:numPr>
          <w:ilvl w:val="0"/>
          <w:numId w:val="3"/>
        </w:numPr>
        <w:shd w:val="clear"/>
        <w:rPr>
          <w:rFonts w:hint="eastAsia"/>
          <w:sz w:val="21"/>
          <w:szCs w:val="22"/>
          <w:highlight w:val="none"/>
        </w:rPr>
      </w:pPr>
      <w:bookmarkStart w:id="230" w:name="_Toc3441"/>
      <w:bookmarkStart w:id="231" w:name="_Toc6327"/>
      <w:r>
        <w:rPr>
          <w:rFonts w:hint="eastAsia"/>
          <w:sz w:val="21"/>
          <w:szCs w:val="22"/>
          <w:highlight w:val="none"/>
          <w:lang w:eastAsia="zh-CN"/>
        </w:rPr>
        <w:t>公共功能</w:t>
      </w:r>
      <w:bookmarkEnd w:id="230"/>
      <w:bookmarkEnd w:id="231"/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产品干系人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投研人员管理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外部人员管理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重大事项提示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主体信息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审计机构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销售机构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合同信息管理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交易单元管理</w:t>
      </w:r>
    </w:p>
    <w:p>
      <w:pPr>
        <w:pStyle w:val="24"/>
        <w:keepNext w:val="0"/>
        <w:keepLines w:val="0"/>
        <w:pageBreakBefore w:val="0"/>
        <w:widowControl w:val="0"/>
        <w:numPr>
          <w:ilvl w:val="1"/>
          <w:numId w:val="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890" w:leftChars="0" w:right="0" w:rightChars="0" w:hanging="420" w:firstLineChars="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交易单元绑定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500" w:right="0" w:rightChars="0" w:firstLine="418" w:firstLineChars="0"/>
        <w:jc w:val="both"/>
        <w:textAlignment w:val="auto"/>
        <w:outlineLvl w:val="9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……</w:t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232" w:name="_Toc3172"/>
      <w:bookmarkStart w:id="233" w:name="_Toc27760"/>
      <w:bookmarkStart w:id="234" w:name="_Toc22934"/>
      <w:bookmarkStart w:id="235" w:name="_Toc6884"/>
      <w:bookmarkStart w:id="236" w:name="_Toc30238"/>
      <w:bookmarkStart w:id="237" w:name="_Toc14784"/>
      <w:r>
        <w:rPr>
          <w:rFonts w:hint="eastAsia"/>
          <w:sz w:val="28"/>
          <w:szCs w:val="28"/>
          <w:highlight w:val="none"/>
          <w:lang w:val="en-US" w:eastAsia="zh-CN"/>
        </w:rPr>
        <w:t>产品干系人</w:t>
      </w:r>
      <w:bookmarkEnd w:id="232"/>
      <w:bookmarkEnd w:id="233"/>
      <w:bookmarkEnd w:id="234"/>
      <w:bookmarkEnd w:id="235"/>
      <w:bookmarkEnd w:id="236"/>
      <w:bookmarkEnd w:id="237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38" w:name="_Toc8136"/>
      <w:bookmarkStart w:id="239" w:name="_Toc10367"/>
      <w:bookmarkStart w:id="240" w:name="_Toc13565"/>
      <w:bookmarkStart w:id="241" w:name="_Toc13959"/>
      <w:bookmarkStart w:id="242" w:name="_Toc15072"/>
      <w:r>
        <w:rPr>
          <w:rFonts w:hint="eastAsia"/>
          <w:highlight w:val="none"/>
          <w:lang w:val="en-US" w:eastAsia="zh-CN"/>
        </w:rPr>
        <w:t>产品干系人主界面</w:t>
      </w:r>
      <w:bookmarkEnd w:id="238"/>
      <w:bookmarkEnd w:id="239"/>
      <w:bookmarkEnd w:id="240"/>
      <w:bookmarkEnd w:id="241"/>
      <w:bookmarkEnd w:id="242"/>
    </w:p>
    <w:p>
      <w:pPr>
        <w:pStyle w:val="24"/>
        <w:numPr>
          <w:ilvl w:val="0"/>
          <w:numId w:val="3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243" w:name="_Toc32037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243"/>
    </w:p>
    <w:p>
      <w:pPr>
        <w:pStyle w:val="30"/>
        <w:keepNext w:val="0"/>
        <w:keepLines w:val="0"/>
        <w:pageBreakBefore w:val="0"/>
        <w:numPr>
          <w:ilvl w:val="0"/>
          <w:numId w:val="3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打开【公共功能】--&gt;点击【产品干系人】；</w:t>
      </w:r>
    </w:p>
    <w:p>
      <w:pPr>
        <w:pStyle w:val="30"/>
        <w:keepNext w:val="0"/>
        <w:keepLines w:val="0"/>
        <w:pageBreakBefore w:val="0"/>
        <w:numPr>
          <w:ilvl w:val="0"/>
          <w:numId w:val="3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系统界面加载【产品干系人】的主界面，界面上端</w:t>
      </w:r>
      <w:r>
        <w:rPr>
          <w:rFonts w:hint="eastAsia"/>
          <w:highlight w:val="none"/>
          <w:lang w:eastAsia="zh-CN"/>
        </w:rPr>
        <w:t>有“基金经理/基金经理助理、内部干系人、外部关系人”三个分页，点击分页，</w:t>
      </w:r>
      <w:r>
        <w:rPr>
          <w:rFonts w:hint="eastAsia" w:ascii="宋体" w:hAnsi="宋体"/>
          <w:sz w:val="21"/>
          <w:highlight w:val="none"/>
          <w:lang w:eastAsia="zh-CN"/>
        </w:rPr>
        <w:t>可获取该类型的所有记录；</w:t>
      </w:r>
    </w:p>
    <w:p>
      <w:pPr>
        <w:pStyle w:val="30"/>
        <w:keepNext w:val="0"/>
        <w:keepLines w:val="0"/>
        <w:pageBreakBefore w:val="0"/>
        <w:numPr>
          <w:ilvl w:val="0"/>
          <w:numId w:val="38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点击相应操作按钮，可以对信息进行新增、修改、复制、删除、审核、反审核、同步、查询的操作；</w:t>
      </w:r>
    </w:p>
    <w:p>
      <w:pPr>
        <w:pStyle w:val="24"/>
        <w:numPr>
          <w:ilvl w:val="0"/>
          <w:numId w:val="37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bookmarkStart w:id="244" w:name="_Toc13841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244"/>
    </w:p>
    <w:p>
      <w:pPr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eastAsiaTheme="minor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455545"/>
            <wp:effectExtent l="9525" t="9525" r="11430" b="19050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5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3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bookmarkStart w:id="245" w:name="_Toc12978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  <w:bookmarkEnd w:id="245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免职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39"/>
              </w:numPr>
              <w:shd w:val="clear"/>
              <w:tabs>
                <w:tab w:val="clear" w:pos="312"/>
              </w:tabs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只限【基金经理/基金经理助理】功能使用；</w:t>
            </w:r>
          </w:p>
          <w:p>
            <w:pPr>
              <w:pStyle w:val="30"/>
              <w:numPr>
                <w:ilvl w:val="0"/>
                <w:numId w:val="39"/>
              </w:numPr>
              <w:shd w:val="clear"/>
              <w:tabs>
                <w:tab w:val="clear" w:pos="312"/>
              </w:tabs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新增记录并审批通过后，“免职”按钮显示于“操作栏”；</w:t>
            </w:r>
          </w:p>
        </w:tc>
      </w:tr>
    </w:tbl>
    <w:p>
      <w:pPr>
        <w:shd w:val="clear"/>
        <w:spacing w:line="360" w:lineRule="auto"/>
        <w:ind w:firstLine="420" w:firstLineChars="0"/>
        <w:rPr>
          <w:rFonts w:hint="eastAsia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46" w:name="_Toc3083"/>
      <w:bookmarkStart w:id="247" w:name="_Toc14162"/>
      <w:bookmarkStart w:id="248" w:name="_Toc7166"/>
      <w:bookmarkStart w:id="249" w:name="_Toc29572"/>
      <w:bookmarkStart w:id="250" w:name="_Toc23609"/>
      <w:r>
        <w:rPr>
          <w:rFonts w:hint="eastAsia"/>
          <w:highlight w:val="none"/>
          <w:lang w:val="en-US" w:eastAsia="zh-CN"/>
        </w:rPr>
        <w:t>基金经理/基金经理助理</w:t>
      </w:r>
      <w:bookmarkEnd w:id="246"/>
      <w:bookmarkEnd w:id="247"/>
      <w:bookmarkEnd w:id="248"/>
      <w:bookmarkEnd w:id="249"/>
      <w:bookmarkEnd w:id="250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4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4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产品干系人--&gt;点击“</w:t>
      </w: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基金经理/基金经理助理</w:t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”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分页</w:t>
      </w:r>
    </w:p>
    <w:p>
      <w:pPr>
        <w:pStyle w:val="30"/>
        <w:keepNext w:val="0"/>
        <w:keepLines w:val="0"/>
        <w:pageBreakBefore w:val="0"/>
        <w:numPr>
          <w:ilvl w:val="0"/>
          <w:numId w:val="4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b w:val="0"/>
          <w:bCs w:val="0"/>
          <w:highlight w:val="none"/>
          <w:lang w:eastAsia="zh-CN"/>
        </w:rPr>
        <w:t>跳转至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基金经理/基金经理助理信息</w:t>
      </w:r>
      <w:r>
        <w:rPr>
          <w:rFonts w:hint="eastAsia"/>
          <w:b w:val="0"/>
          <w:bCs w:val="0"/>
          <w:highlight w:val="none"/>
          <w:lang w:eastAsia="zh-CN"/>
        </w:rPr>
        <w:t>维护</w:t>
      </w:r>
      <w:r>
        <w:rPr>
          <w:rFonts w:hint="eastAsia"/>
          <w:b w:val="0"/>
          <w:bCs w:val="0"/>
          <w:highlight w:val="none"/>
          <w:lang w:val="en-US" w:eastAsia="zh-CN"/>
        </w:rPr>
        <w:t>界面，可在维护界面维护</w:t>
      </w:r>
      <w:r>
        <w:rPr>
          <w:rFonts w:hint="eastAsia" w:ascii="宋体" w:hAnsi="宋体"/>
          <w:b w:val="0"/>
          <w:bCs w:val="0"/>
          <w:sz w:val="21"/>
          <w:highlight w:val="none"/>
          <w:lang w:val="en-US" w:eastAsia="zh-CN"/>
        </w:rPr>
        <w:t>基金经理/基金经理助理信息</w:t>
      </w:r>
    </w:p>
    <w:p>
      <w:pPr>
        <w:pStyle w:val="24"/>
        <w:numPr>
          <w:ilvl w:val="0"/>
          <w:numId w:val="4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spacing w:line="360" w:lineRule="auto"/>
      </w:pPr>
      <w:r>
        <w:drawing>
          <wp:inline distT="0" distB="0" distL="114300" distR="114300">
            <wp:extent cx="5272405" cy="2685415"/>
            <wp:effectExtent l="0" t="0" r="635" b="12065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spacing w:line="360" w:lineRule="auto"/>
        <w:rPr>
          <w:rFonts w:hint="eastAsia"/>
          <w:lang w:eastAsia="zh-CN"/>
        </w:rPr>
      </w:pPr>
    </w:p>
    <w:p>
      <w:pPr>
        <w:pStyle w:val="5"/>
        <w:shd w:val="clear"/>
        <w:ind w:left="930" w:leftChars="0" w:firstLine="880"/>
        <w:jc w:val="both"/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4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新增界面</w:t>
      </w:r>
    </w:p>
    <w:p>
      <w:pPr>
        <w:shd w:val="clear"/>
        <w:spacing w:line="360" w:lineRule="auto"/>
        <w:rPr>
          <w:rFonts w:hint="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73040" cy="8173720"/>
            <wp:effectExtent l="9525" t="9525" r="20955" b="1587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73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>免职界面</w:t>
      </w:r>
    </w:p>
    <w:p>
      <w:pPr>
        <w:shd w:val="clear"/>
        <w:ind w:left="42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只有“基金经理</w:t>
      </w:r>
      <w:r>
        <w:rPr>
          <w:rFonts w:hint="eastAsia"/>
          <w:highlight w:val="none"/>
          <w:lang w:val="en-US" w:eastAsia="zh-CN"/>
        </w:rPr>
        <w:t>/助理</w:t>
      </w:r>
      <w:r>
        <w:rPr>
          <w:rFonts w:hint="eastAsia"/>
          <w:highlight w:val="none"/>
          <w:lang w:eastAsia="zh-CN"/>
        </w:rPr>
        <w:t>”有免职功能，点击跳转“基金经理</w:t>
      </w:r>
      <w:r>
        <w:rPr>
          <w:rFonts w:hint="eastAsia"/>
          <w:highlight w:val="none"/>
          <w:lang w:val="en-US" w:eastAsia="zh-CN"/>
        </w:rPr>
        <w:t>/助理”维护界面，可编辑免职信息（已审核记录）。</w:t>
      </w:r>
    </w:p>
    <w:p>
      <w:pPr>
        <w:shd w:val="clear"/>
        <w:rPr>
          <w:rFonts w:hint="eastAsia"/>
          <w:highlight w:val="none"/>
          <w:lang w:eastAsia="zh-CN"/>
        </w:rPr>
      </w:pPr>
      <w:r>
        <w:drawing>
          <wp:inline distT="0" distB="0" distL="114300" distR="114300">
            <wp:extent cx="5267960" cy="6854190"/>
            <wp:effectExtent l="9525" t="9525" r="10795" b="952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54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2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1.“免职”操作时，只读；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415" w:type="dxa"/>
            <w:gridSpan w:val="2"/>
            <w:vAlign w:val="top"/>
          </w:tcPr>
          <w:p>
            <w:pPr>
              <w:numPr>
                <w:ilvl w:val="0"/>
                <w:numId w:val="43"/>
              </w:num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选项为所有的基金经理；</w:t>
            </w:r>
          </w:p>
          <w:p>
            <w:pPr>
              <w:numPr>
                <w:ilvl w:val="0"/>
                <w:numId w:val="43"/>
              </w:num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“免职”操作时，只读；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1.只读；根据基金经理“姓名”自动加载；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2.若基金经理信息中无本项内容，则空；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3.“免职”操作时，只读；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最高毕业院校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最高学历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最高学位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专业名称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任职信息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决议编号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1.“免职”操作时，只读；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总办会决议日期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总办会相关决议事项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免职信息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决议编号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numPr>
                <w:ilvl w:val="0"/>
                <w:numId w:val="44"/>
              </w:num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“新增”时，只读；</w:t>
            </w:r>
          </w:p>
          <w:p>
            <w:pPr>
              <w:numPr>
                <w:ilvl w:val="0"/>
                <w:numId w:val="44"/>
              </w:numPr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“免职”操作时，可编辑。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总办会决议日期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总办会相关决议事项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离任日期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Merge w:val="continue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30"/>
        <w:shd w:val="clear"/>
        <w:spacing w:line="360" w:lineRule="auto"/>
        <w:rPr>
          <w:rFonts w:hint="eastAsia" w:ascii="宋体" w:hAnsi="宋体"/>
          <w:b/>
          <w:bCs/>
          <w:sz w:val="21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51" w:name="_Toc7903"/>
      <w:bookmarkStart w:id="252" w:name="_Toc19901"/>
      <w:bookmarkStart w:id="253" w:name="_Toc17527"/>
      <w:bookmarkStart w:id="254" w:name="_Toc19197"/>
      <w:bookmarkStart w:id="255" w:name="_Toc10202"/>
      <w:r>
        <w:rPr>
          <w:rFonts w:hint="eastAsia"/>
          <w:highlight w:val="none"/>
          <w:lang w:val="en-US" w:eastAsia="zh-CN"/>
        </w:rPr>
        <w:t>内部干系人</w:t>
      </w:r>
      <w:bookmarkEnd w:id="251"/>
      <w:bookmarkEnd w:id="252"/>
      <w:bookmarkEnd w:id="253"/>
      <w:bookmarkEnd w:id="254"/>
      <w:bookmarkEnd w:id="255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4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4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产品干系人--&gt;点击“内部干系人”分页；</w:t>
      </w:r>
    </w:p>
    <w:p>
      <w:pPr>
        <w:pStyle w:val="30"/>
        <w:keepNext w:val="0"/>
        <w:keepLines w:val="0"/>
        <w:pageBreakBefore w:val="0"/>
        <w:numPr>
          <w:ilvl w:val="0"/>
          <w:numId w:val="4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按钮，跳转至内部干系人信息维护界面，可在维护界面维护内部干系人信息。</w:t>
      </w:r>
    </w:p>
    <w:p>
      <w:pPr>
        <w:pStyle w:val="24"/>
        <w:numPr>
          <w:ilvl w:val="0"/>
          <w:numId w:val="4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30"/>
        <w:shd w:val="clear"/>
        <w:spacing w:line="360" w:lineRule="auto"/>
        <w:rPr>
          <w:rFonts w:hint="eastAsia" w:eastAsiaTheme="minor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274570"/>
            <wp:effectExtent l="0" t="0" r="5715" b="1143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ind w:left="930" w:leftChars="0" w:firstLine="880"/>
        <w:jc w:val="both"/>
        <w:rPr>
          <w:rFonts w:hint="eastAsia"/>
          <w:b/>
          <w:bCs/>
          <w:highlight w:val="none"/>
          <w:lang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47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rPr>
          <w:rFonts w:hint="eastAsia" w:eastAsiaTheme="minorEastAsia"/>
          <w:highlight w:val="none"/>
          <w:lang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5264785" cy="2128520"/>
            <wp:effectExtent l="9525" t="9525" r="13970" b="10795"/>
            <wp:docPr id="8" name="图片 8" descr="内部干系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内部干系人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85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下拉选择，加载自产品表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根据姓名自动加载；只读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选项：1-产品经理, 2-项目经理,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3-清算会计, 4-核算会计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任职信息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56" w:name="_Toc29051"/>
      <w:bookmarkStart w:id="257" w:name="_Toc16330"/>
      <w:bookmarkStart w:id="258" w:name="_Toc20795"/>
      <w:bookmarkStart w:id="259" w:name="_Toc7892"/>
      <w:bookmarkStart w:id="260" w:name="_Toc14524"/>
      <w:r>
        <w:rPr>
          <w:rFonts w:hint="eastAsia"/>
          <w:highlight w:val="none"/>
          <w:lang w:val="en-US" w:eastAsia="zh-CN"/>
        </w:rPr>
        <w:t>外部干系人维护</w:t>
      </w:r>
      <w:bookmarkEnd w:id="256"/>
      <w:bookmarkEnd w:id="257"/>
      <w:bookmarkEnd w:id="258"/>
      <w:bookmarkEnd w:id="259"/>
      <w:bookmarkEnd w:id="260"/>
    </w:p>
    <w:p>
      <w:pPr>
        <w:pStyle w:val="5"/>
        <w:shd w:val="clear"/>
        <w:ind w:left="930"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主界面</w:t>
      </w:r>
    </w:p>
    <w:p>
      <w:pPr>
        <w:pStyle w:val="24"/>
        <w:numPr>
          <w:ilvl w:val="0"/>
          <w:numId w:val="4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r>
        <w:rPr>
          <w:rFonts w:hint="eastAsia"/>
          <w:b/>
          <w:bCs/>
          <w:highlight w:val="none"/>
          <w:lang w:eastAsia="zh-CN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4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产品干系人--&gt;“外部干系人”分页；</w:t>
      </w:r>
    </w:p>
    <w:p>
      <w:pPr>
        <w:pStyle w:val="30"/>
        <w:keepNext w:val="0"/>
        <w:keepLines w:val="0"/>
        <w:pageBreakBefore w:val="0"/>
        <w:numPr>
          <w:ilvl w:val="0"/>
          <w:numId w:val="4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</w:pP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点击</w:t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drawing>
          <wp:inline distT="0" distB="0" distL="114300" distR="114300">
            <wp:extent cx="457200" cy="205740"/>
            <wp:effectExtent l="0" t="0" r="0" b="762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 w:val="0"/>
          <w:bCs w:val="0"/>
          <w:i w:val="0"/>
          <w:iCs w:val="0"/>
          <w:sz w:val="21"/>
          <w:highlight w:val="none"/>
          <w:lang w:val="en-US" w:eastAsia="zh-CN"/>
        </w:rPr>
        <w:t>按钮，跳转至外部干系人信息维护界面，可在维护界面维护外部干系人信息。</w:t>
      </w:r>
    </w:p>
    <w:p>
      <w:pPr>
        <w:pStyle w:val="24"/>
        <w:numPr>
          <w:ilvl w:val="0"/>
          <w:numId w:val="48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pStyle w:val="30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 w:eastAsiaTheme="minor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452370"/>
            <wp:effectExtent l="0" t="0" r="5715" b="1270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ind w:left="930" w:leftChars="0" w:firstLine="880"/>
        <w:jc w:val="both"/>
        <w:rPr>
          <w:rFonts w:hint="eastAsia" w:eastAsiaTheme="minorEastAsia"/>
          <w:highlight w:val="none"/>
          <w:lang w:eastAsia="zh-CN"/>
        </w:rPr>
      </w:pPr>
      <w:r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  <w:t>维护界面</w:t>
      </w:r>
    </w:p>
    <w:p>
      <w:pPr>
        <w:pStyle w:val="24"/>
        <w:numPr>
          <w:ilvl w:val="0"/>
          <w:numId w:val="5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2"/>
          <w:highlight w:val="none"/>
          <w:lang w:val="en-US" w:eastAsia="zh-CN"/>
        </w:rPr>
        <w:t>界面</w:t>
      </w:r>
    </w:p>
    <w:p>
      <w:pPr>
        <w:shd w:val="clear"/>
        <w:rPr>
          <w:rStyle w:val="17"/>
          <w:rFonts w:hint="eastAsia"/>
          <w:b/>
          <w:sz w:val="21"/>
          <w:szCs w:val="22"/>
          <w:highlight w:val="none"/>
          <w:lang w:val="en-US" w:eastAsia="zh-CN"/>
        </w:rPr>
      </w:pPr>
      <w:r>
        <w:rPr>
          <w:rFonts w:hint="eastAsia" w:eastAsiaTheme="minorEastAsia"/>
          <w:highlight w:val="none"/>
          <w:lang w:eastAsia="zh-CN"/>
        </w:rPr>
        <w:drawing>
          <wp:inline distT="0" distB="0" distL="114300" distR="114300">
            <wp:extent cx="5268595" cy="3547110"/>
            <wp:effectExtent l="9525" t="9525" r="10160" b="9525"/>
            <wp:docPr id="11" name="图片 11" descr="外部干系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外部干系人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eastAsia="zh-CN"/>
        </w:rPr>
      </w:pPr>
      <w:r>
        <w:rPr>
          <w:rFonts w:hint="eastAsia"/>
          <w:b/>
          <w:bCs/>
          <w:highlight w:val="none"/>
          <w:lang w:eastAsia="zh-CN"/>
        </w:rPr>
        <w:t>元素说明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1-托管行联系人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加载自【外部人员管理】中已维护的外部人员记录；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性别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只读；根据姓名自动加载；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其他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开始日期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结束日期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0"/>
        <w:numPr>
          <w:ilvl w:val="0"/>
          <w:numId w:val="0"/>
        </w:num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261" w:name="_Toc27134"/>
      <w:bookmarkStart w:id="262" w:name="_Toc30564"/>
      <w:bookmarkStart w:id="263" w:name="_Toc16798"/>
      <w:bookmarkStart w:id="264" w:name="_Toc11428"/>
      <w:bookmarkStart w:id="265" w:name="_Toc571"/>
      <w:bookmarkStart w:id="266" w:name="_Toc14651"/>
      <w:r>
        <w:rPr>
          <w:rFonts w:hint="eastAsia"/>
          <w:sz w:val="28"/>
          <w:szCs w:val="28"/>
          <w:highlight w:val="none"/>
          <w:lang w:val="en-US" w:eastAsia="zh-CN"/>
        </w:rPr>
        <w:t>投研人员管理</w:t>
      </w:r>
      <w:bookmarkEnd w:id="261"/>
      <w:bookmarkEnd w:id="262"/>
      <w:bookmarkEnd w:id="263"/>
      <w:bookmarkEnd w:id="264"/>
      <w:bookmarkEnd w:id="265"/>
      <w:bookmarkEnd w:id="266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67" w:name="_Toc14322"/>
      <w:bookmarkStart w:id="268" w:name="_Toc21139"/>
      <w:bookmarkStart w:id="269" w:name="_Toc10048"/>
      <w:bookmarkStart w:id="270" w:name="_Toc6329"/>
      <w:bookmarkStart w:id="271" w:name="_Toc31281"/>
      <w:r>
        <w:rPr>
          <w:rFonts w:hint="eastAsia"/>
          <w:highlight w:val="none"/>
          <w:lang w:val="en-US" w:eastAsia="zh-CN"/>
        </w:rPr>
        <w:t>投研人员管理主界面</w:t>
      </w:r>
      <w:bookmarkEnd w:id="267"/>
      <w:bookmarkEnd w:id="268"/>
      <w:bookmarkEnd w:id="269"/>
      <w:bookmarkEnd w:id="270"/>
      <w:bookmarkEnd w:id="271"/>
    </w:p>
    <w:p>
      <w:pPr>
        <w:pStyle w:val="24"/>
        <w:numPr>
          <w:ilvl w:val="0"/>
          <w:numId w:val="51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272" w:name="_Toc16970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272"/>
    </w:p>
    <w:p>
      <w:pPr>
        <w:pStyle w:val="30"/>
        <w:keepNext w:val="0"/>
        <w:keepLines w:val="0"/>
        <w:pageBreakBefore w:val="0"/>
        <w:numPr>
          <w:ilvl w:val="0"/>
          <w:numId w:val="5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打开【公共功能】--&gt;点击【投研人员管理】；</w:t>
      </w:r>
    </w:p>
    <w:p>
      <w:pPr>
        <w:pStyle w:val="30"/>
        <w:keepNext w:val="0"/>
        <w:keepLines w:val="0"/>
        <w:pageBreakBefore w:val="0"/>
        <w:numPr>
          <w:ilvl w:val="0"/>
          <w:numId w:val="5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系统界面加载【投研人员管理】的主界面；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5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30"/>
        <w:keepNext w:val="0"/>
        <w:keepLines w:val="0"/>
        <w:pageBreakBefore w:val="0"/>
        <w:numPr>
          <w:ilvl w:val="0"/>
          <w:numId w:val="52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点击“查看详情”，查看投研人员的详细信息；</w:t>
      </w:r>
    </w:p>
    <w:p>
      <w:pPr>
        <w:pStyle w:val="24"/>
        <w:numPr>
          <w:ilvl w:val="0"/>
          <w:numId w:val="51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highlight w:val="none"/>
          <w:lang w:val="en-US" w:eastAsia="zh-CN"/>
        </w:rPr>
      </w:pPr>
      <w:bookmarkStart w:id="273" w:name="_Toc28816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273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1610" cy="2439035"/>
            <wp:effectExtent l="9525" t="9525" r="17145" b="2032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9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1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274" w:name="_Toc32240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274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查看详情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1.进入“投研人员”的信息查看界面；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2.和‘查看’功能不同在于，将查看功能的信息进行了格式调整；</w:t>
            </w:r>
          </w:p>
        </w:tc>
      </w:tr>
    </w:tbl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75" w:name="_Toc4307"/>
      <w:bookmarkStart w:id="276" w:name="_Toc20729"/>
      <w:bookmarkStart w:id="277" w:name="_Toc7141"/>
      <w:bookmarkStart w:id="278" w:name="_Toc17690"/>
      <w:bookmarkStart w:id="279" w:name="_Toc6208"/>
      <w:r>
        <w:rPr>
          <w:rFonts w:hint="eastAsia"/>
          <w:highlight w:val="none"/>
          <w:lang w:val="en-US" w:eastAsia="zh-CN"/>
        </w:rPr>
        <w:t>投研人员信息维护</w:t>
      </w:r>
      <w:bookmarkEnd w:id="275"/>
      <w:bookmarkEnd w:id="276"/>
      <w:bookmarkEnd w:id="277"/>
      <w:bookmarkEnd w:id="278"/>
      <w:bookmarkEnd w:id="279"/>
    </w:p>
    <w:p>
      <w:pPr>
        <w:pStyle w:val="24"/>
        <w:numPr>
          <w:ilvl w:val="0"/>
          <w:numId w:val="5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280" w:name="_Toc952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280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投研人员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界面，可在维护界面维护投研人员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53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281" w:name="_Toc2901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281"/>
    </w:p>
    <w:p>
      <w:pPr>
        <w:shd w:val="clear"/>
        <w:spacing w:line="360" w:lineRule="auto"/>
        <w:rPr>
          <w:highlight w:val="none"/>
        </w:rPr>
      </w:pPr>
    </w:p>
    <w:p>
      <w:pPr>
        <w:shd w:val="clear"/>
        <w:spacing w:line="360" w:lineRule="auto"/>
        <w:rPr>
          <w:highlight w:val="none"/>
        </w:rPr>
      </w:pPr>
    </w:p>
    <w:p>
      <w:pPr>
        <w:shd w:val="clear"/>
        <w:spacing w:line="360" w:lineRule="auto"/>
        <w:rPr>
          <w:highlight w:val="none"/>
        </w:rPr>
      </w:pPr>
    </w:p>
    <w:p>
      <w:pPr>
        <w:shd w:val="clear"/>
        <w:spacing w:line="360" w:lineRule="auto"/>
        <w:rPr>
          <w:rFonts w:hint="eastAsia" w:ascii="宋体" w:hAnsi="宋体"/>
          <w:b/>
          <w:bCs/>
          <w:sz w:val="21"/>
          <w:highlight w:val="none"/>
          <w:lang w:eastAsia="zh-CN"/>
        </w:rPr>
      </w:pPr>
      <w:r>
        <w:rPr>
          <w:rFonts w:hint="eastAsia" w:ascii="宋体" w:hAnsi="宋体"/>
          <w:b/>
          <w:bCs/>
          <w:sz w:val="21"/>
          <w:highlight w:val="none"/>
          <w:lang w:eastAsia="zh-CN"/>
        </w:rPr>
        <w:drawing>
          <wp:inline distT="0" distB="0" distL="114300" distR="114300">
            <wp:extent cx="5083175" cy="8851265"/>
            <wp:effectExtent l="9525" t="9525" r="12700" b="24130"/>
            <wp:docPr id="12" name="图片 12" descr="投研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投研人员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851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3"/>
        </w:numPr>
        <w:shd w:val="clear"/>
        <w:spacing w:line="360" w:lineRule="auto"/>
        <w:ind w:left="845" w:leftChars="0" w:hanging="425" w:firstLineChars="0"/>
        <w:rPr>
          <w:rFonts w:hint="eastAsia" w:ascii="宋体" w:hAnsi="宋体"/>
          <w:b/>
          <w:bCs/>
          <w:sz w:val="21"/>
          <w:highlight w:val="none"/>
          <w:lang w:eastAsia="zh-CN"/>
        </w:rPr>
      </w:pPr>
      <w:bookmarkStart w:id="282" w:name="_Toc27309"/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282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</w:p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现任部门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选择人员所在部门；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15"/>
                <w:szCs w:val="15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姓名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选择部门下人员；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性别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国籍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默认：中国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现任岗位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选项：1-基金经理 2-基金经理助理 3-投资经理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4-投资经理助理 5-研究员 6-其他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职位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“现任职位”=‘其他’时，展示本字段供用户填写；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出生日期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入职日期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离职日期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注册日期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最高学历毕业院校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选项：1-博士后 2-博士 3-硕士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4-本科 5-专科 6-中专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最高学位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专业名称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证券从业年限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工作年限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点击按钮，根据各段工作经历，自动将年限进行汇总计算。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履历</w:t>
            </w:r>
            <w:r>
              <w:rPr>
                <w:rFonts w:hint="eastAsia" w:ascii="宋体" w:hAnsi="宋体" w:cs="宋体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（暂不支持）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点击按钮，根据基本信息和经历自动生成标准化履历。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获奖经历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惩罚情况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任职经历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任职公司名称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任职部门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担任职位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任职开始日期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任职结束日期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属于证券从业经历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 2-否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属于证券投资管理经历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 2-否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证券从业经历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若“属于证券从业经历”=‘是’，根据“任职结束日期”和“任职开始日期”自动计算年限；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证券投资管理经历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若“属于证券投资管理经历”=‘是’，根据“任职结束日期”和“任职开始日期”自动计算年限；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公募基金管理经历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任职公司名称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产品全称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资产代码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任职日期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离任日期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8"/>
                <w:szCs w:val="18"/>
                <w:highlight w:val="none"/>
                <w:lang w:val="en-US" w:eastAsia="zh-CN" w:bidi="ar-SA"/>
              </w:rPr>
              <w:t>学习经历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学校名称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入学时间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毕业时间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学习形式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1-全日制 2-在职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专业名称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所获学历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1-博士后 2-博士 3-硕士 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4-本科 5-专科 6-中专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="宋体" w:hAnsi="宋体" w:cs="宋体" w:eastAsiaTheme="minorEastAsia"/>
                <w:b w:val="0"/>
                <w:bCs w:val="0"/>
                <w:kern w:val="0"/>
                <w:sz w:val="15"/>
                <w:szCs w:val="15"/>
                <w:highlight w:val="none"/>
                <w:lang w:val="en-US" w:eastAsia="zh-CN" w:bidi="ar-SA"/>
              </w:rPr>
              <w:t>所获学位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0"/>
        <w:shd w:val="clear"/>
        <w:spacing w:line="360" w:lineRule="auto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83" w:name="_Toc9224"/>
      <w:bookmarkStart w:id="284" w:name="_Toc24852"/>
      <w:bookmarkStart w:id="285" w:name="_Toc31558"/>
      <w:bookmarkStart w:id="286" w:name="_Toc28391"/>
      <w:bookmarkStart w:id="287" w:name="_Toc4043"/>
      <w:r>
        <w:rPr>
          <w:rFonts w:hint="eastAsia"/>
          <w:highlight w:val="none"/>
          <w:lang w:val="en-US" w:eastAsia="zh-CN"/>
        </w:rPr>
        <w:t>投研人员查看详情</w:t>
      </w:r>
      <w:bookmarkEnd w:id="283"/>
      <w:bookmarkEnd w:id="284"/>
      <w:bookmarkEnd w:id="285"/>
      <w:bookmarkEnd w:id="286"/>
      <w:bookmarkEnd w:id="287"/>
    </w:p>
    <w:p>
      <w:pPr>
        <w:pStyle w:val="24"/>
        <w:numPr>
          <w:ilvl w:val="0"/>
          <w:numId w:val="5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288" w:name="_Toc9708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288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操作栏的“查看详情”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投研人员</w:t>
      </w:r>
      <w:r>
        <w:rPr>
          <w:rFonts w:hint="eastAsia" w:ascii="宋体" w:hAnsi="宋体"/>
          <w:sz w:val="21"/>
          <w:highlight w:val="none"/>
          <w:lang w:eastAsia="zh-CN"/>
        </w:rPr>
        <w:t>查看详情</w:t>
      </w:r>
      <w:r>
        <w:rPr>
          <w:rFonts w:hint="eastAsia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54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289" w:name="_Toc9801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289"/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0500" cy="6882130"/>
            <wp:effectExtent l="9525" t="9525" r="23495" b="1206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2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290" w:name="_Toc29121"/>
      <w:bookmarkStart w:id="291" w:name="_Toc14922"/>
      <w:bookmarkStart w:id="292" w:name="_Toc22070"/>
      <w:bookmarkStart w:id="293" w:name="_Toc3867"/>
      <w:bookmarkStart w:id="294" w:name="_Toc26256"/>
      <w:bookmarkStart w:id="295" w:name="_Toc9061"/>
      <w:r>
        <w:rPr>
          <w:rFonts w:hint="eastAsia"/>
          <w:sz w:val="28"/>
          <w:szCs w:val="28"/>
          <w:highlight w:val="none"/>
          <w:lang w:val="en-US" w:eastAsia="zh-CN"/>
        </w:rPr>
        <w:t>外部人员管理</w:t>
      </w:r>
      <w:bookmarkEnd w:id="290"/>
      <w:bookmarkEnd w:id="291"/>
      <w:bookmarkEnd w:id="292"/>
      <w:bookmarkEnd w:id="293"/>
      <w:bookmarkEnd w:id="294"/>
      <w:bookmarkEnd w:id="295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296" w:name="_Toc4086"/>
      <w:bookmarkStart w:id="297" w:name="_Toc7720"/>
      <w:bookmarkStart w:id="298" w:name="_Toc26066"/>
      <w:bookmarkStart w:id="299" w:name="_Toc31761"/>
      <w:bookmarkStart w:id="300" w:name="_Toc22257"/>
      <w:r>
        <w:rPr>
          <w:rFonts w:hint="eastAsia"/>
          <w:highlight w:val="none"/>
          <w:lang w:val="en-US" w:eastAsia="zh-CN"/>
        </w:rPr>
        <w:t>外部人员管理主界面</w:t>
      </w:r>
      <w:bookmarkEnd w:id="296"/>
      <w:bookmarkEnd w:id="297"/>
      <w:bookmarkEnd w:id="298"/>
      <w:bookmarkEnd w:id="299"/>
      <w:bookmarkEnd w:id="300"/>
    </w:p>
    <w:p>
      <w:pPr>
        <w:pStyle w:val="24"/>
        <w:numPr>
          <w:ilvl w:val="0"/>
          <w:numId w:val="5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301" w:name="_Toc20878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301"/>
    </w:p>
    <w:p>
      <w:pPr>
        <w:pStyle w:val="30"/>
        <w:keepNext w:val="0"/>
        <w:keepLines w:val="0"/>
        <w:pageBreakBefore w:val="0"/>
        <w:numPr>
          <w:ilvl w:val="0"/>
          <w:numId w:val="5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打开【公共功能】--&gt;点击【外部人员管理】；</w:t>
      </w:r>
    </w:p>
    <w:p>
      <w:pPr>
        <w:pStyle w:val="30"/>
        <w:keepNext w:val="0"/>
        <w:keepLines w:val="0"/>
        <w:pageBreakBefore w:val="0"/>
        <w:numPr>
          <w:ilvl w:val="0"/>
          <w:numId w:val="5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系统界面加载【外部人员管理】的主界面；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56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55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highlight w:val="none"/>
          <w:lang w:val="en-US" w:eastAsia="zh-CN"/>
        </w:rPr>
      </w:pPr>
      <w:bookmarkStart w:id="302" w:name="_Toc7805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302"/>
    </w:p>
    <w:p>
      <w:pPr>
        <w:pStyle w:val="30"/>
        <w:shd w:val="clear"/>
        <w:spacing w:line="360" w:lineRule="auto"/>
        <w:rPr>
          <w:rFonts w:hint="eastAsia" w:ascii="宋体" w:hAnsi="宋体"/>
          <w:sz w:val="21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395220"/>
            <wp:effectExtent l="0" t="0" r="5715" b="1270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5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5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303" w:name="_Toc19381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303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304" w:name="_Toc18386"/>
      <w:bookmarkStart w:id="305" w:name="_Toc27566"/>
      <w:bookmarkStart w:id="306" w:name="_Toc14364"/>
      <w:bookmarkStart w:id="307" w:name="_Toc730"/>
      <w:bookmarkStart w:id="308" w:name="_Toc2661"/>
      <w:r>
        <w:rPr>
          <w:rFonts w:hint="eastAsia"/>
          <w:highlight w:val="none"/>
          <w:lang w:val="en-US" w:eastAsia="zh-CN"/>
        </w:rPr>
        <w:t>外部人员信息维护</w:t>
      </w:r>
      <w:bookmarkEnd w:id="304"/>
      <w:bookmarkEnd w:id="305"/>
      <w:bookmarkEnd w:id="306"/>
      <w:bookmarkEnd w:id="307"/>
      <w:bookmarkEnd w:id="308"/>
    </w:p>
    <w:p>
      <w:pPr>
        <w:pStyle w:val="24"/>
        <w:numPr>
          <w:ilvl w:val="0"/>
          <w:numId w:val="5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309" w:name="_Toc10708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309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 w:ascii="宋体" w:hAnsi="宋体"/>
          <w:sz w:val="21"/>
          <w:highlight w:val="none"/>
          <w:lang w:eastAsia="zh-CN"/>
        </w:rPr>
        <w:t>外部人员信息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</w:t>
      </w:r>
      <w:r>
        <w:rPr>
          <w:rFonts w:hint="eastAsia" w:ascii="宋体" w:hAnsi="宋体"/>
          <w:sz w:val="21"/>
          <w:highlight w:val="none"/>
          <w:lang w:eastAsia="zh-CN"/>
        </w:rPr>
        <w:t>外部人员信息</w:t>
      </w:r>
    </w:p>
    <w:p>
      <w:pPr>
        <w:pStyle w:val="24"/>
        <w:numPr>
          <w:ilvl w:val="0"/>
          <w:numId w:val="5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310" w:name="_Toc5734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310"/>
    </w:p>
    <w:p>
      <w:pPr>
        <w:pStyle w:val="30"/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</w:p>
    <w:p>
      <w:pPr>
        <w:pStyle w:val="30"/>
        <w:keepNext w:val="0"/>
        <w:keepLines w:val="0"/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drawing>
          <wp:inline distT="0" distB="0" distL="114300" distR="114300">
            <wp:extent cx="5266055" cy="2940685"/>
            <wp:effectExtent l="9525" t="9525" r="12700" b="21590"/>
            <wp:docPr id="14" name="图片 14" descr="外部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外部人员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6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7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311" w:name="_Toc6161"/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  <w:bookmarkEnd w:id="311"/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486"/>
        <w:gridCol w:w="1569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1901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基本信息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姓名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性别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所属机构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加载所有的机构信息；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干系人类别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下拉框，单选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现任部门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现任岗位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</w:p>
          <w:p>
            <w:pPr>
              <w:shd w:val="clear"/>
              <w:spacing w:line="360" w:lineRule="auto"/>
              <w:jc w:val="center"/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联系信息</w:t>
            </w: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电话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手机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highlight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邮箱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传真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邮编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格式校验；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top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outlineLvl w:val="9"/>
              <w:rPr>
                <w:rFonts w:hint="eastAsia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1486" w:type="dxa"/>
            <w:vAlign w:val="center"/>
          </w:tcPr>
          <w:p>
            <w:pPr>
              <w:keepNext w:val="0"/>
              <w:keepLines w:val="0"/>
              <w:pageBreakBefore w:val="0"/>
              <w:shd w:val="clear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outlineLvl w:val="9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6"/>
                <w:szCs w:val="16"/>
                <w:highlight w:val="none"/>
                <w:u w:val="none"/>
                <w:lang w:val="en-US" w:eastAsia="zh-CN" w:bidi="ar"/>
              </w:rPr>
              <w:t>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gridSpan w:val="2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</w:p>
    <w:p>
      <w:pPr>
        <w:shd w:val="clear"/>
        <w:spacing w:line="360" w:lineRule="auto"/>
        <w:rPr>
          <w:rStyle w:val="17"/>
          <w:rFonts w:hint="eastAsia"/>
          <w:b w:val="0"/>
          <w:bCs w:val="0"/>
          <w:highlight w:val="none"/>
          <w:lang w:eastAsia="zh-CN"/>
        </w:rPr>
      </w:pPr>
    </w:p>
    <w:p>
      <w:pPr>
        <w:pStyle w:val="3"/>
        <w:shd w:val="clear"/>
        <w:spacing w:line="360" w:lineRule="auto"/>
        <w:rPr>
          <w:rFonts w:hint="eastAsia"/>
          <w:sz w:val="28"/>
          <w:szCs w:val="28"/>
          <w:highlight w:val="none"/>
          <w:lang w:val="en-US" w:eastAsia="zh-CN"/>
        </w:rPr>
      </w:pPr>
      <w:bookmarkStart w:id="312" w:name="_Toc6755"/>
      <w:bookmarkStart w:id="313" w:name="_Toc2826"/>
      <w:bookmarkStart w:id="314" w:name="_Toc29586"/>
      <w:bookmarkStart w:id="315" w:name="_Toc18328"/>
      <w:bookmarkStart w:id="316" w:name="_Toc17989"/>
      <w:bookmarkStart w:id="317" w:name="_Toc18768"/>
      <w:r>
        <w:rPr>
          <w:rFonts w:hint="eastAsia"/>
          <w:sz w:val="28"/>
          <w:szCs w:val="28"/>
          <w:highlight w:val="none"/>
          <w:lang w:val="en-US" w:eastAsia="zh-CN"/>
        </w:rPr>
        <w:t>重大事项揭示</w:t>
      </w:r>
      <w:bookmarkEnd w:id="312"/>
      <w:bookmarkEnd w:id="313"/>
      <w:bookmarkEnd w:id="314"/>
      <w:bookmarkEnd w:id="315"/>
      <w:bookmarkEnd w:id="316"/>
      <w:bookmarkEnd w:id="317"/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318" w:name="_Toc12605"/>
      <w:bookmarkStart w:id="319" w:name="_Toc15197"/>
      <w:bookmarkStart w:id="320" w:name="_Toc29358"/>
      <w:bookmarkStart w:id="321" w:name="_Toc27937"/>
      <w:bookmarkStart w:id="322" w:name="_Toc23052"/>
      <w:r>
        <w:rPr>
          <w:rFonts w:hint="eastAsia"/>
          <w:highlight w:val="none"/>
          <w:lang w:val="en-US" w:eastAsia="zh-CN"/>
        </w:rPr>
        <w:t>重大事项揭示主界面</w:t>
      </w:r>
      <w:bookmarkEnd w:id="318"/>
      <w:bookmarkEnd w:id="319"/>
      <w:bookmarkEnd w:id="320"/>
      <w:bookmarkEnd w:id="321"/>
      <w:bookmarkEnd w:id="322"/>
    </w:p>
    <w:p>
      <w:pPr>
        <w:pStyle w:val="24"/>
        <w:numPr>
          <w:ilvl w:val="0"/>
          <w:numId w:val="5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</w:rPr>
      </w:pPr>
      <w:bookmarkStart w:id="323" w:name="_Toc14641"/>
      <w:r>
        <w:rPr>
          <w:rStyle w:val="17"/>
          <w:rFonts w:hint="eastAsia"/>
          <w:sz w:val="21"/>
          <w:szCs w:val="22"/>
          <w:highlight w:val="none"/>
        </w:rPr>
        <w:t>操作说明</w:t>
      </w:r>
      <w:bookmarkEnd w:id="323"/>
    </w:p>
    <w:p>
      <w:pPr>
        <w:pStyle w:val="30"/>
        <w:keepNext w:val="0"/>
        <w:keepLines w:val="0"/>
        <w:pageBreakBefore w:val="0"/>
        <w:numPr>
          <w:ilvl w:val="0"/>
          <w:numId w:val="5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打开【公共功能】--&gt;点击【重大事项揭示】；</w:t>
      </w:r>
    </w:p>
    <w:p>
      <w:pPr>
        <w:pStyle w:val="30"/>
        <w:keepNext w:val="0"/>
        <w:keepLines w:val="0"/>
        <w:pageBreakBefore w:val="0"/>
        <w:numPr>
          <w:ilvl w:val="0"/>
          <w:numId w:val="5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系统界面加载【重大事项揭示】的主界面；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59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58"/>
        </w:numPr>
        <w:shd w:val="clear"/>
        <w:spacing w:line="360" w:lineRule="auto"/>
        <w:ind w:left="845" w:leftChars="0" w:hanging="425" w:firstLineChars="0"/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324" w:name="_Toc21440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  <w:bookmarkEnd w:id="324"/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7325" cy="2452370"/>
            <wp:effectExtent l="9525" t="9525" r="11430" b="2222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2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b w:val="0"/>
          <w:bCs/>
          <w:highlight w:val="none"/>
          <w:lang w:val="en-US" w:eastAsia="zh-CN"/>
        </w:rPr>
      </w:pPr>
    </w:p>
    <w:p>
      <w:pPr>
        <w:pStyle w:val="24"/>
        <w:numPr>
          <w:ilvl w:val="0"/>
          <w:numId w:val="58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325" w:name="_Toc10652"/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  <w:bookmarkEnd w:id="325"/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326" w:name="_Toc21084"/>
      <w:bookmarkStart w:id="327" w:name="_Toc8459"/>
      <w:bookmarkStart w:id="328" w:name="_Toc31734"/>
      <w:bookmarkStart w:id="329" w:name="_Toc29551"/>
      <w:bookmarkStart w:id="330" w:name="_Toc2595"/>
      <w:r>
        <w:rPr>
          <w:rFonts w:hint="eastAsia"/>
          <w:highlight w:val="none"/>
          <w:lang w:val="en-US" w:eastAsia="zh-CN"/>
        </w:rPr>
        <w:t>重大事项揭示信息维护</w:t>
      </w:r>
      <w:bookmarkEnd w:id="326"/>
      <w:bookmarkEnd w:id="327"/>
      <w:bookmarkEnd w:id="328"/>
      <w:bookmarkEnd w:id="329"/>
      <w:bookmarkEnd w:id="330"/>
    </w:p>
    <w:p>
      <w:pPr>
        <w:pStyle w:val="24"/>
        <w:numPr>
          <w:ilvl w:val="0"/>
          <w:numId w:val="6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bookmarkStart w:id="331" w:name="_Toc18518"/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  <w:bookmarkEnd w:id="331"/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投研人员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界面，可在维护界面维护投研人员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60"/>
        </w:numPr>
        <w:shd w:val="clear"/>
        <w:spacing w:line="360" w:lineRule="auto"/>
        <w:ind w:left="845" w:leftChars="0" w:hanging="425" w:firstLineChars="0"/>
        <w:rPr>
          <w:rFonts w:hint="eastAsia"/>
          <w:highlight w:val="none"/>
          <w:lang w:val="en-US" w:eastAsia="zh-CN"/>
        </w:rPr>
      </w:pPr>
      <w:bookmarkStart w:id="332" w:name="_Toc2088"/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  <w:bookmarkEnd w:id="332"/>
    </w:p>
    <w:p>
      <w:p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9865" cy="5295900"/>
            <wp:effectExtent l="9525" t="9525" r="24130" b="13335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5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0"/>
        </w:numPr>
        <w:shd w:val="clear"/>
        <w:spacing w:line="360" w:lineRule="auto"/>
        <w:ind w:left="845" w:leftChars="0" w:hanging="425" w:firstLineChars="0"/>
        <w:rPr>
          <w:rFonts w:hint="eastAsia"/>
          <w:b/>
          <w:bCs/>
          <w:highlight w:val="none"/>
          <w:lang w:val="en-US" w:eastAsia="zh-CN"/>
        </w:rPr>
      </w:pPr>
      <w:bookmarkStart w:id="333" w:name="_Toc19483"/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元素说明</w:t>
      </w:r>
      <w:bookmarkEnd w:id="333"/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6"/>
        <w:gridCol w:w="1569"/>
        <w:gridCol w:w="1672"/>
        <w:gridCol w:w="34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415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适用对象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单选框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1-产品（默认）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2-安信基金管理有限责任公司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产品全称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“适用产品”=‘产品’时可选择产品；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披露内容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披露时间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披露报社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多选框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0"/>
                <w:sz w:val="15"/>
                <w:szCs w:val="15"/>
                <w:highlight w:val="none"/>
                <w:vertAlign w:val="baseline"/>
                <w:lang w:val="en-US" w:eastAsia="zh-CN" w:bidi="ar-SA"/>
              </w:rPr>
              <w:t>备注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415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34" w:name="_Toc4419"/>
      <w:r>
        <w:rPr>
          <w:rFonts w:hint="eastAsia"/>
          <w:highlight w:val="none"/>
          <w:lang w:val="en-US" w:eastAsia="zh-CN"/>
        </w:rPr>
        <w:t>主体信息</w:t>
      </w:r>
      <w:bookmarkEnd w:id="33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35" w:name="_Toc18397"/>
      <w:r>
        <w:rPr>
          <w:rFonts w:hint="eastAsia"/>
          <w:highlight w:val="none"/>
          <w:lang w:val="en-US" w:eastAsia="zh-CN"/>
        </w:rPr>
        <w:t>主体信息主界面</w:t>
      </w:r>
      <w:bookmarkEnd w:id="335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打开【公共功能】--&gt;点击【主体信息】；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系统界面加载【主体信息】的主界面；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主界面上下联动的形式，上区：主体信息记录；下区:主体信息相对应的【高管信息】【股权结构】；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7325" cy="2488565"/>
            <wp:effectExtent l="9525" t="9525" r="11430" b="16510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</w:p>
    <w:p>
      <w:pPr>
        <w:numPr>
          <w:ilvl w:val="0"/>
          <w:numId w:val="0"/>
        </w:numPr>
        <w:shd w:val="clea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结束（股权结构）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未审核状态下，将股权信息保存为历史记录</w:t>
            </w:r>
          </w:p>
        </w:tc>
      </w:tr>
    </w:tbl>
    <w:p>
      <w:pPr>
        <w:numPr>
          <w:ilvl w:val="0"/>
          <w:numId w:val="0"/>
        </w:numPr>
        <w:shd w:val="clear"/>
        <w:rPr>
          <w:rFonts w:hint="eastAsia" w:eastAsiaTheme="minor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336" w:name="_Toc31695"/>
      <w:r>
        <w:rPr>
          <w:rFonts w:hint="eastAsia"/>
          <w:highlight w:val="none"/>
          <w:lang w:val="en-US" w:eastAsia="zh-CN"/>
        </w:rPr>
        <w:t>主体信息维护</w:t>
      </w:r>
      <w:bookmarkEnd w:id="336"/>
    </w:p>
    <w:p>
      <w:pPr>
        <w:pStyle w:val="24"/>
        <w:numPr>
          <w:ilvl w:val="0"/>
          <w:numId w:val="61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shd w:val="clear"/>
        <w:ind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主体信息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主体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界面，可在维护界面维护主体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61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3515" cy="2827020"/>
            <wp:effectExtent l="9525" t="9525" r="15240" b="1333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70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1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080"/>
        <w:gridCol w:w="1569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加载内容来自词汇“机构类型”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主体资质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复选框；多选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加载内容来自词汇“关联机构”，并增加“审计机构”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组织形式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注册资本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资本币种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存续期间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加载内容来自词汇“关联机构”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1-中国证券监督管理委员会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2-中国银行业监督管理委员会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3-中国保险监督管理委员会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批准文号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 xml:space="preserve"> 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网址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rPr>
          <w:highlight w:val="none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337" w:name="_Toc26029"/>
      <w:r>
        <w:rPr>
          <w:rFonts w:hint="eastAsia"/>
          <w:highlight w:val="none"/>
          <w:lang w:val="en-US" w:eastAsia="zh-CN"/>
        </w:rPr>
        <w:t>高管信息维护</w:t>
      </w:r>
      <w:bookmarkEnd w:id="337"/>
    </w:p>
    <w:p>
      <w:pPr>
        <w:pStyle w:val="24"/>
        <w:numPr>
          <w:ilvl w:val="0"/>
          <w:numId w:val="62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操作说明</w:t>
      </w:r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840" w:firstLineChars="4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在主界面上方点选一条主体信息，联动下方的高管信息，点击</w:t>
      </w:r>
      <w:r>
        <w:rPr>
          <w:highlight w:val="none"/>
        </w:rPr>
        <w:drawing>
          <wp:inline distT="0" distB="0" distL="114300" distR="114300">
            <wp:extent cx="457200" cy="205740"/>
            <wp:effectExtent l="0" t="0" r="0" b="762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eastAsia="zh-CN"/>
        </w:rPr>
        <w:t>至高管信息维护</w:t>
      </w:r>
      <w:r>
        <w:rPr>
          <w:rFonts w:hint="eastAsia"/>
          <w:highlight w:val="none"/>
          <w:lang w:val="en-US" w:eastAsia="zh-CN"/>
        </w:rPr>
        <w:t>界面，可在维护界面维护高管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62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9865" cy="4606290"/>
            <wp:effectExtent l="9525" t="9525" r="24130" b="1714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062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2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46"/>
        <w:gridCol w:w="1403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2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03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机构信息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职务类型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选项（树形分支）：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1.董事会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1.1董事长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1.2董事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1.3独立董事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2.监事会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2.1监事会主席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2.2监事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2.3职工监事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3.高级管理人员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3.1总经理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3.2副总经理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3.3督察长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4.投资决策委员会成员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 xml:space="preserve">  4.1委员会成员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姓名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性别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最高毕业院校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专业名称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最高学位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最高学历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是否在职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任职开始日期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任职结束日期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履历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任职经历</w:t>
            </w: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任职公司名称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任职部门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任职职位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任职开始日期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46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任职结束日期</w:t>
            </w:r>
          </w:p>
        </w:tc>
        <w:tc>
          <w:tcPr>
            <w:tcW w:w="1403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rPr>
          <w:highlight w:val="none"/>
        </w:rPr>
      </w:pPr>
    </w:p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338" w:name="_Toc12323"/>
      <w:r>
        <w:rPr>
          <w:rFonts w:hint="eastAsia"/>
          <w:highlight w:val="none"/>
          <w:lang w:val="en-US" w:eastAsia="zh-CN"/>
        </w:rPr>
        <w:t>股权结构信息维护</w:t>
      </w:r>
      <w:bookmarkEnd w:id="338"/>
    </w:p>
    <w:p>
      <w:pPr>
        <w:pStyle w:val="24"/>
        <w:numPr>
          <w:ilvl w:val="0"/>
          <w:numId w:val="63"/>
        </w:numPr>
        <w:shd w:val="clear"/>
        <w:spacing w:line="360" w:lineRule="auto"/>
        <w:ind w:left="1140" w:leftChars="200" w:hanging="72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操作说明</w:t>
      </w:r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在主界面上方点选一条主体信息，联动下方的</w:t>
      </w:r>
      <w:r>
        <w:rPr>
          <w:rFonts w:hint="eastAsia"/>
          <w:highlight w:val="none"/>
          <w:lang w:val="en-US" w:eastAsia="zh-CN"/>
        </w:rPr>
        <w:t>股权结构</w:t>
      </w:r>
      <w:r>
        <w:rPr>
          <w:rFonts w:hint="eastAsia"/>
          <w:highlight w:val="none"/>
          <w:lang w:eastAsia="zh-CN"/>
        </w:rPr>
        <w:t>信息，点击</w:t>
      </w:r>
      <w:r>
        <w:rPr>
          <w:highlight w:val="none"/>
        </w:rPr>
        <w:drawing>
          <wp:inline distT="0" distB="0" distL="114300" distR="114300">
            <wp:extent cx="457200" cy="205740"/>
            <wp:effectExtent l="0" t="0" r="0" b="762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股权结构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界面，可在维护界面维护股权结构</w:t>
      </w:r>
      <w:r>
        <w:rPr>
          <w:rFonts w:hint="eastAsia"/>
          <w:highlight w:val="none"/>
          <w:lang w:eastAsia="zh-CN"/>
        </w:rPr>
        <w:t>信息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63"/>
        </w:numPr>
        <w:shd w:val="clear"/>
        <w:spacing w:line="360" w:lineRule="auto"/>
        <w:ind w:left="1140" w:leftChars="200" w:hanging="720" w:firstLineChars="0"/>
        <w:rPr>
          <w:rFonts w:hint="eastAsia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9865" cy="1591310"/>
            <wp:effectExtent l="9525" t="9525" r="24130" b="1460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1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shd w:val="clear"/>
        <w:ind w:left="1140" w:leftChars="200" w:hanging="720" w:firstLineChars="0"/>
        <w:rPr>
          <w:rFonts w:hint="eastAsia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46"/>
        <w:gridCol w:w="1403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2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03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机构信息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默认值；不可更改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3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股权信息</w:t>
            </w: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股东名称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4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股东类型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1-企业法人   2-个人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股本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开始日期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4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结束日期</w:t>
            </w:r>
          </w:p>
        </w:tc>
        <w:tc>
          <w:tcPr>
            <w:tcW w:w="1403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shd w:val="clear"/>
        <w:rPr>
          <w:rFonts w:hint="eastAsia" w:eastAsiaTheme="minorEastAsia"/>
          <w:highlight w:val="none"/>
          <w:lang w:val="en-US" w:eastAsia="zh-CN"/>
        </w:rPr>
      </w:pPr>
    </w:p>
    <w:p>
      <w:pPr>
        <w:pStyle w:val="24"/>
        <w:numPr>
          <w:ilvl w:val="0"/>
          <w:numId w:val="63"/>
        </w:numPr>
        <w:shd w:val="clear"/>
        <w:spacing w:line="360" w:lineRule="auto"/>
        <w:ind w:left="1140" w:leftChars="200" w:hanging="720" w:firstLineChars="0"/>
        <w:rPr>
          <w:rFonts w:hint="eastAsia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“结束”功能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7325" cy="2538730"/>
            <wp:effectExtent l="9525" t="9525" r="11430" b="1206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highlight w:val="none"/>
        </w:rPr>
      </w:pPr>
      <w:r>
        <w:rPr>
          <w:rFonts w:hint="eastAsia"/>
          <w:highlight w:val="none"/>
          <w:lang w:eastAsia="zh-CN"/>
        </w:rPr>
        <w:t>点击“结束”，跳转维护界面，只可编辑【结束日期】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Fonts w:hint="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8595" cy="2804795"/>
            <wp:effectExtent l="9525" t="9525" r="10160" b="2032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4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39" w:name="_Toc11514"/>
      <w:r>
        <w:rPr>
          <w:rFonts w:hint="eastAsia"/>
          <w:highlight w:val="none"/>
          <w:lang w:val="en-US" w:eastAsia="zh-CN"/>
        </w:rPr>
        <w:t>审计机构</w:t>
      </w:r>
      <w:bookmarkEnd w:id="339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40" w:name="_Toc1147"/>
      <w:r>
        <w:rPr>
          <w:rFonts w:hint="eastAsia"/>
          <w:highlight w:val="none"/>
          <w:lang w:val="en-US" w:eastAsia="zh-CN"/>
        </w:rPr>
        <w:t>审计机构主界面</w:t>
      </w:r>
      <w:bookmarkEnd w:id="340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打开【公共功能】--&gt;点击【审计机构】；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系统界面加载【审计机构】的主界面；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主界面上下联动的形式，上区：审计机构信息；下区:审计机构相对应的【审计产品管理】【审计费用管理】；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shd w:val="clear"/>
        <w:spacing w:line="360" w:lineRule="auto"/>
        <w:rPr>
          <w:highlight w:val="none"/>
        </w:rPr>
      </w:pPr>
      <w:r>
        <w:drawing>
          <wp:inline distT="0" distB="0" distL="114300" distR="114300">
            <wp:extent cx="5267325" cy="2318385"/>
            <wp:effectExtent l="9525" t="9525" r="11430" b="1905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8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895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gridSpan w:val="2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restart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审计产品管理</w:t>
            </w: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绑定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continue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解绑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restart"/>
            <w:vAlign w:val="top"/>
          </w:tcPr>
          <w:p>
            <w:pPr>
              <w:pStyle w:val="30"/>
              <w:shd w:val="clear"/>
              <w:spacing w:line="360" w:lineRule="auto"/>
              <w:jc w:val="both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审计费用管理</w:t>
            </w: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设置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continue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预算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continue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保存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4" w:type="dxa"/>
            <w:vMerge w:val="continue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</w:p>
        </w:tc>
        <w:tc>
          <w:tcPr>
            <w:tcW w:w="895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FF0000"/>
                <w:highlight w:val="none"/>
                <w:vertAlign w:val="baseline"/>
                <w:lang w:val="en-US" w:eastAsia="zh-CN"/>
              </w:rPr>
              <w:t>导入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shd w:val="clear"/>
        <w:spacing w:line="360" w:lineRule="auto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341" w:name="_Toc11226"/>
      <w:r>
        <w:rPr>
          <w:rFonts w:hint="eastAsia"/>
          <w:highlight w:val="none"/>
          <w:lang w:val="en-US" w:eastAsia="zh-CN"/>
        </w:rPr>
        <w:t>审计机构维护</w:t>
      </w:r>
      <w:bookmarkEnd w:id="341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shd w:val="clear"/>
        <w:ind w:left="420" w:leftChars="0"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审计机构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，跳转至审计机构维护</w:t>
      </w:r>
      <w:r>
        <w:rPr>
          <w:rFonts w:hint="eastAsia"/>
          <w:highlight w:val="none"/>
          <w:lang w:val="en-US" w:eastAsia="zh-CN"/>
        </w:rPr>
        <w:t>界面，可在维护界面维护</w:t>
      </w:r>
      <w:r>
        <w:rPr>
          <w:rFonts w:hint="eastAsia"/>
          <w:highlight w:val="none"/>
          <w:lang w:eastAsia="zh-CN"/>
        </w:rPr>
        <w:t>审计机构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界面（同主体信息）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20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【主体资质】默认选择“审计机构”，且不可更改</w:t>
      </w:r>
    </w:p>
    <w:p>
      <w:pPr>
        <w:pStyle w:val="24"/>
        <w:numPr>
          <w:ilvl w:val="0"/>
          <w:numId w:val="0"/>
        </w:numPr>
        <w:shd w:val="clear"/>
        <w:tabs>
          <w:tab w:val="left" w:pos="1809"/>
        </w:tabs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8595" cy="3009265"/>
            <wp:effectExtent l="9525" t="9525" r="10160" b="1397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</w:p>
    <w:p>
      <w:pPr>
        <w:pStyle w:val="24"/>
        <w:numPr>
          <w:ilvl w:val="0"/>
          <w:numId w:val="0"/>
        </w:numPr>
        <w:shd w:val="clear"/>
        <w:tabs>
          <w:tab w:val="left" w:pos="1809"/>
        </w:tabs>
        <w:spacing w:line="360" w:lineRule="auto"/>
        <w:rPr>
          <w:rFonts w:hint="eastAsia"/>
          <w:highlight w:val="none"/>
          <w:lang w:eastAsia="zh-CN"/>
        </w:rPr>
      </w:pP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080"/>
        <w:gridCol w:w="1569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加载内容来自词汇“机构类型”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" w:hRule="atLeast"/>
          <w:jc w:val="center"/>
        </w:trPr>
        <w:tc>
          <w:tcPr>
            <w:tcW w:w="1486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主体资质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默认值，不可更改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加载“审计机构”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主体信息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组织形式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法人代表证件代码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注册资本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资本币种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成立日期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存续期间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加载内容来自词汇“关联机构”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批准机构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1-中国证券监督管理委员会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2-中国银行业监督管理委员会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3-中国保险监督管理委员会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批准文号</w:t>
            </w: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 xml:space="preserve"> 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联系人信息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邮箱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注册邮编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办公地址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办公邮编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网址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4"/>
        <w:shd w:val="clear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342" w:name="_Toc9292"/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审计产品管理</w:t>
      </w:r>
    </w:p>
    <w:p>
      <w:pPr>
        <w:pStyle w:val="5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产品绑定</w:t>
      </w:r>
      <w:bookmarkEnd w:id="342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shd w:val="clear"/>
        <w:ind w:left="420" w:leftChars="0" w:firstLine="420" w:firstLineChars="0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在主界面上方点选一条审计机构信息，联动下方的审计产品管理，</w:t>
      </w: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02920" cy="236220"/>
            <wp:effectExtent l="0" t="0" r="0" b="762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产品绑定界面，可在绑定界面绑定产品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Fonts w:hint="eastAsia"/>
          <w:b w:val="0"/>
          <w:bCs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绑定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（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若选择某年度，该年度审计机构和产品未绑定，则下面的产品列表均未勾选，用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户可任意勾选产品；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 xml:space="preserve">  （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若选择某年度，该年度审计机构和产品已绑定过，则产品列表中已绑定的产品勾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选“√”；已勾选的产品不管“审核”、“未审核”，均不可取消勾选；用户只可对未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勾选的产品进行勾选和取消勾选。</w:t>
      </w: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1135" cy="3000375"/>
            <wp:effectExtent l="9525" t="9525" r="22860" b="2286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highlight w:val="none"/>
        </w:rPr>
      </w:pPr>
    </w:p>
    <w:p>
      <w:pPr>
        <w:pStyle w:val="5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bookmarkStart w:id="343" w:name="_Toc18103"/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解绑</w:t>
      </w:r>
      <w:bookmarkEnd w:id="343"/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</w:rPr>
      </w:pPr>
      <w:r>
        <w:rPr>
          <w:rFonts w:hint="eastAsia"/>
          <w:highlight w:val="none"/>
        </w:rPr>
        <w:t>解除某一年度，产品和审计机构的绑定关系</w:t>
      </w:r>
      <w:r>
        <w:rPr>
          <w:rFonts w:hint="eastAsia"/>
          <w:highlight w:val="none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eastAsia="zh-CN"/>
        </w:rPr>
        <w:t>在主界面上方点选一条审计机构信息</w:t>
      </w:r>
      <w:r>
        <w:rPr>
          <w:rFonts w:hint="eastAsia"/>
          <w:highlight w:val="none"/>
        </w:rPr>
        <w:t>——</w:t>
      </w:r>
      <w:r>
        <w:rPr>
          <w:rFonts w:hint="eastAsia"/>
          <w:highlight w:val="none"/>
          <w:lang w:eastAsia="zh-CN"/>
        </w:rPr>
        <w:t>》在主界面下方</w:t>
      </w:r>
      <w:r>
        <w:rPr>
          <w:rFonts w:hint="eastAsia"/>
          <w:highlight w:val="none"/>
        </w:rPr>
        <w:t>勾选审计机构某年度的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</w:rPr>
        <w:t>一条/多条记录——》点击“反审核”——》点击</w:t>
      </w:r>
      <w:r>
        <w:rPr>
          <w:rFonts w:hint="eastAsia"/>
          <w:highlight w:val="none"/>
          <w:lang w:eastAsia="zh-CN"/>
        </w:rPr>
        <w:t>“解绑”</w:t>
      </w:r>
      <w:r>
        <w:rPr>
          <w:rFonts w:hint="eastAsia"/>
          <w:highlight w:val="none"/>
        </w:rPr>
        <w:t>——》取消勾选，则解除绑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</w:rPr>
        <w:t>定——》保存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解绑界面</w:t>
      </w:r>
      <w:r>
        <w:rPr>
          <w:rFonts w:hint="eastAsia"/>
          <w:highlight w:val="none"/>
        </w:rPr>
        <w:t>加载所有和审计机构绑定的产品，且已勾上；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highlight w:val="none"/>
        </w:rPr>
      </w:pPr>
      <w:r>
        <w:rPr>
          <w:rFonts w:hint="eastAsia"/>
          <w:highlight w:val="none"/>
          <w:lang w:eastAsia="zh-CN"/>
        </w:rPr>
        <w:t>已</w:t>
      </w:r>
      <w:r>
        <w:rPr>
          <w:rFonts w:hint="eastAsia"/>
          <w:highlight w:val="none"/>
        </w:rPr>
        <w:t>审核的记录不可取消勾选，未审核的记录可取消勾选；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3040" cy="2811780"/>
            <wp:effectExtent l="9525" t="9525" r="20955" b="13335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1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审计费用管理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320925"/>
            <wp:effectExtent l="9525" t="9525" r="11430" b="1651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0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44" w:name="_Toc30176"/>
      <w:r>
        <w:rPr>
          <w:rFonts w:hint="eastAsia"/>
          <w:highlight w:val="none"/>
          <w:lang w:eastAsia="zh-CN"/>
        </w:rPr>
        <w:t>销售机构</w:t>
      </w:r>
      <w:bookmarkEnd w:id="34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45" w:name="_Toc14363"/>
      <w:r>
        <w:rPr>
          <w:rFonts w:hint="eastAsia"/>
          <w:highlight w:val="none"/>
          <w:lang w:val="en-US" w:eastAsia="zh-CN"/>
        </w:rPr>
        <w:t>销售机构主界面</w:t>
      </w:r>
      <w:bookmarkEnd w:id="345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打开【公共功能】--&gt;点击【销售机构】；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系统界面加载【销售机构】的主界面；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主界面上下联动的形式，上区：销售机构信息；下区:销售机构相对应的【销售协议】【产品绑定】【接口参数】【销售商账户】；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</w:p>
    <w:p>
      <w:pPr>
        <w:shd w:val="clear"/>
        <w:ind w:left="210" w:hanging="210" w:hangingChars="100"/>
      </w:pPr>
      <w:r>
        <w:drawing>
          <wp:inline distT="0" distB="0" distL="114300" distR="114300">
            <wp:extent cx="5267325" cy="2458085"/>
            <wp:effectExtent l="9525" t="9525" r="11430" b="1651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</w:pPr>
    </w:p>
    <w:p>
      <w:pPr>
        <w:shd w:val="clear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3.   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ind w:left="210" w:hanging="211" w:hangingChars="100"/>
        <w:rPr>
          <w:rFonts w:hint="eastAsia"/>
          <w:b/>
          <w:bCs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46" w:name="_Toc2417"/>
      <w:r>
        <w:rPr>
          <w:rFonts w:hint="eastAsia"/>
          <w:highlight w:val="none"/>
          <w:lang w:val="en-US" w:eastAsia="zh-CN"/>
        </w:rPr>
        <w:t>销售机构维护</w:t>
      </w:r>
      <w:bookmarkEnd w:id="346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销售机构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，跳转至销售机构维护</w:t>
      </w:r>
      <w:r>
        <w:rPr>
          <w:rFonts w:hint="eastAsia"/>
          <w:highlight w:val="none"/>
          <w:lang w:val="en-US" w:eastAsia="zh-CN"/>
        </w:rPr>
        <w:t>界面，维护销售</w:t>
      </w:r>
      <w:r>
        <w:rPr>
          <w:rFonts w:hint="eastAsia"/>
          <w:highlight w:val="none"/>
          <w:lang w:eastAsia="zh-CN"/>
        </w:rPr>
        <w:t>机构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</w:p>
    <w:p>
      <w:pPr>
        <w:shd w:val="clea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9230" cy="6231255"/>
            <wp:effectExtent l="9525" t="9525" r="9525" b="2286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31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shd w:val="clear"/>
        <w:ind w:firstLine="420" w:firstLine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209"/>
        <w:gridCol w:w="1440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15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4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销售商名称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销售商代码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网点类型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网点代码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渠道类型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【网点类型】=“直销”时显示‘电商’、‘柜台’；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【网点类型】=“代销”时现实‘银行’、‘券商’、‘第三方机构’。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ascii="open sans" w:hAnsi="open sans" w:eastAsia="open sans" w:cs="open sans"/>
                <w:i w:val="0"/>
                <w:caps w:val="0"/>
                <w:color w:val="333333"/>
                <w:spacing w:val="0"/>
                <w:sz w:val="15"/>
                <w:szCs w:val="15"/>
                <w:highlight w:val="none"/>
                <w:shd w:val="clear" w:fill="FFFFFF"/>
              </w:rPr>
              <w:t>中登结算地点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描述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销售商联系人</w:t>
            </w: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部门/岗位</w:t>
            </w:r>
          </w:p>
        </w:tc>
        <w:tc>
          <w:tcPr>
            <w:tcW w:w="144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联系人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电话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手机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传真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邮编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0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40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4"/>
        <w:shd w:val="clear"/>
        <w:rPr>
          <w:rFonts w:hint="eastAsia"/>
          <w:lang w:val="en-US" w:eastAsia="zh-CN"/>
        </w:rPr>
      </w:pPr>
      <w:bookmarkStart w:id="347" w:name="_Toc30664"/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销售协议维护</w:t>
      </w:r>
      <w:bookmarkEnd w:id="347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在主界面上方点选一条销售机构信息，联动下方的销售协议，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，跳转至销售协议维护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，维护销售协议信息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维护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选中销售机构，点击“添加 ”，设置界面自动加载“销售商名称”“销售商代码”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1135" cy="7118985"/>
            <wp:effectExtent l="9525" t="9525" r="22860" b="1905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18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"/>
        <w:gridCol w:w="1080"/>
        <w:gridCol w:w="1569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基本信息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销售商代码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协议名称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产品销售范围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1-公募（自建TA）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2-公募（中登TA）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3-专户（自建TA）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4-专户（中登TA）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5-特定产品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签订日期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注销日期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费用成分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费用类型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1-认购费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2-前端申购费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3-赎回费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4-销售服务费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5-基金转换转出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6-基金转换转入申购补差费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7-业绩报酬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甲方分成（%）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数字；保留两位小数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乙方分成（%）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数字；保留两位小数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计算公式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406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销售服务费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付费频率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选项：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1-月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2-季</w:t>
            </w:r>
          </w:p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支付条款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406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  <w:r>
              <w:rPr>
                <w:rFonts w:hint="eastAsia"/>
                <w:sz w:val="15"/>
                <w:szCs w:val="15"/>
                <w:highlight w:val="none"/>
              </w:rPr>
              <w:t>客户维护费</w:t>
            </w: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管理费分成比例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结算日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06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08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客户维护费条款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gridSpan w:val="2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优惠信息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color w:val="FF000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color w:val="FF0000"/>
          <w:sz w:val="21"/>
          <w:szCs w:val="22"/>
          <w:highlight w:val="none"/>
          <w:lang w:eastAsia="zh-CN"/>
        </w:rPr>
        <w:t>“注销”功能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Fonts w:hint="eastAsia"/>
          <w:highlight w:val="none"/>
          <w:lang w:eastAsia="zh-CN"/>
        </w:rPr>
      </w:pP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48" w:name="_Toc25250"/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产品绑定</w:t>
      </w:r>
      <w:bookmarkEnd w:id="348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在主界面上方点选一条销售机构信息，联动下方的产品绑定，</w:t>
      </w:r>
      <w:r>
        <w:rPr>
          <w:rFonts w:hint="eastAsia"/>
          <w:highlight w:val="none"/>
        </w:rPr>
        <w:t>点击</w:t>
      </w:r>
      <w:r>
        <w:drawing>
          <wp:inline distT="0" distB="0" distL="114300" distR="114300">
            <wp:extent cx="518160" cy="251460"/>
            <wp:effectExtent l="0" t="0" r="0" b="76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，跳转至产品绑定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   绑定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 xml:space="preserve"> 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 xml:space="preserve"> </w:t>
      </w:r>
      <w:r>
        <w:rPr>
          <w:rFonts w:hint="eastAsia" w:ascii="宋体" w:hAnsi="宋体"/>
          <w:sz w:val="21"/>
          <w:highlight w:val="none"/>
          <w:lang w:eastAsia="zh-CN"/>
        </w:rPr>
        <w:t>选中销售机构，点击“选择”，进入设置界面，界面加载已选中的销售机构，选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择“协议名称”，勾选产品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9230" cy="3487420"/>
            <wp:effectExtent l="9525" t="9525" r="9525" b="2349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74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highlight w:val="none"/>
        </w:rPr>
      </w:pP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>查看详情</w:t>
      </w:r>
    </w:p>
    <w:p>
      <w:pPr>
        <w:shd w:val="clear"/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“查看详情”的功能展示：销售机构、销售协议内容、产品之间的关联信息，只读</w:t>
      </w:r>
    </w:p>
    <w:p>
      <w:pPr>
        <w:shd w:val="clear"/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shd w:val="clear"/>
        <w:ind w:firstLine="420" w:firstLineChars="0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8595" cy="4957445"/>
            <wp:effectExtent l="9525" t="9525" r="10160" b="16510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57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349" w:name="_Toc31634"/>
      <w:r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  <w:t>接口参数维护</w:t>
      </w:r>
      <w:bookmarkEnd w:id="349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1.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在主界面上方点选一条销售机构信息，联动下方的【接口参数】，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，跳转至维护接口参数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，维护接口参数（只可添加一条）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  <w:t>界面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drawing>
          <wp:inline distT="0" distB="0" distL="114300" distR="114300">
            <wp:extent cx="5271770" cy="3158490"/>
            <wp:effectExtent l="9525" t="9525" r="22225" b="171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8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3.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  <w:t>元素说明</w:t>
      </w:r>
    </w:p>
    <w:tbl>
      <w:tblPr>
        <w:tblStyle w:val="21"/>
        <w:tblW w:w="814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6"/>
        <w:gridCol w:w="1569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56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销售商名称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网点简称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网点代码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销售商代码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根据选中的销售机构自动带入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是否大集中模式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0-否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是否支持预分配基金账号</w:t>
            </w:r>
          </w:p>
        </w:tc>
        <w:tc>
          <w:tcPr>
            <w:tcW w:w="156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是否支持份额分类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是否支持单步转托管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基金转换确认方式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1-一笔确认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2-两笔确认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是否支持多交易账户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1-支持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br w:type="textWrapping"/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  <w:t>2-不支持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接口配置版本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对帐方式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1-全部对账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2-变动部分对账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有否份额明细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1-有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是否支持TA发起业务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0-否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定期定额协议是否上传</w:t>
            </w:r>
          </w:p>
        </w:tc>
        <w:tc>
          <w:tcPr>
            <w:tcW w:w="1569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1-上传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2-不上传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Style w:val="17"/>
          <w:rFonts w:hint="eastAsia"/>
          <w:b/>
          <w:bCs/>
          <w:color w:val="FF0000"/>
          <w:sz w:val="21"/>
          <w:szCs w:val="22"/>
          <w:highlight w:val="none"/>
          <w:lang w:val="en-US" w:eastAsia="zh-CN"/>
        </w:rPr>
      </w:pPr>
      <w:bookmarkStart w:id="350" w:name="_Toc31323"/>
      <w:r>
        <w:rPr>
          <w:rStyle w:val="17"/>
          <w:rFonts w:hint="eastAsia"/>
          <w:b/>
          <w:bCs/>
          <w:color w:val="FF0000"/>
          <w:sz w:val="21"/>
          <w:szCs w:val="22"/>
          <w:highlight w:val="none"/>
          <w:lang w:val="en-US" w:eastAsia="zh-CN"/>
        </w:rPr>
        <w:t>销售商账户维护</w:t>
      </w:r>
      <w:bookmarkEnd w:id="350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FF0000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在主界面上方点选一条销售机构信息，联动下方的【销售商账户】，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添加</w:t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，跳转至维护销售商账户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；或者不选择销售机构，直接点击添加按钮，维护销售商账户信息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</w:t>
      </w:r>
      <w:r>
        <w:rPr>
          <w:rStyle w:val="17"/>
          <w:rFonts w:hint="eastAsia"/>
          <w:color w:val="FF000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color w:val="auto"/>
          <w:sz w:val="21"/>
          <w:szCs w:val="22"/>
          <w:highlight w:val="none"/>
          <w:lang w:eastAsia="zh-CN"/>
        </w:rPr>
        <w:t>界面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b w:val="0"/>
          <w:bCs w:val="0"/>
          <w:color w:val="auto"/>
          <w:sz w:val="21"/>
          <w:szCs w:val="22"/>
          <w:highlight w:val="none"/>
          <w:lang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4720590"/>
            <wp:effectExtent l="9525" t="9525" r="10160" b="9525"/>
            <wp:docPr id="96" name="图片 96" descr="不关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不关联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0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51" w:name="_Toc27049"/>
      <w:r>
        <w:rPr>
          <w:rFonts w:hint="eastAsia"/>
          <w:highlight w:val="none"/>
          <w:lang w:eastAsia="zh-CN"/>
        </w:rPr>
        <w:t>合同信息管理</w:t>
      </w:r>
      <w:bookmarkEnd w:id="351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52" w:name="_Toc16240"/>
      <w:r>
        <w:rPr>
          <w:rFonts w:hint="eastAsia"/>
          <w:highlight w:val="none"/>
          <w:lang w:val="en-US" w:eastAsia="zh-CN"/>
        </w:rPr>
        <w:t>合同信息主界面</w:t>
      </w:r>
      <w:bookmarkEnd w:id="352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打开【公共功能】--&gt;点击【合同信息管理】；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系统界面加载【合同信息管理】的主界面；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点击相应操作按钮，可以对信息进行新增、修改、复制、删除、审核、反审核、查询的操作；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2.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71135" cy="2574290"/>
            <wp:effectExtent l="0" t="0" r="1905" b="127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rcRect b="20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3.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按钮说明</w:t>
      </w:r>
    </w:p>
    <w:p>
      <w:pPr>
        <w:shd w:val="clear"/>
        <w:rPr>
          <w:rFonts w:hint="eastAsia"/>
          <w:highlight w:val="none"/>
          <w:lang w:val="en-US" w:eastAsia="zh-CN"/>
        </w:rPr>
      </w:pP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2"/>
        <w:gridCol w:w="5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85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859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859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spacing w:line="360" w:lineRule="auto"/>
        <w:rPr>
          <w:rFonts w:hint="eastAsia"/>
          <w:highlight w:val="none"/>
          <w:lang w:val="en-US" w:eastAsia="zh-CN"/>
        </w:rPr>
      </w:pPr>
      <w:bookmarkStart w:id="353" w:name="_Toc24309"/>
      <w:r>
        <w:rPr>
          <w:rFonts w:hint="eastAsia"/>
          <w:highlight w:val="none"/>
          <w:lang w:val="en-US" w:eastAsia="zh-CN"/>
        </w:rPr>
        <w:t>合同信息维护</w:t>
      </w:r>
      <w:bookmarkEnd w:id="353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pStyle w:val="30"/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</w:t>
      </w:r>
      <w:r>
        <w:rPr>
          <w:rFonts w:hint="eastAsia"/>
          <w:highlight w:val="none"/>
          <w:lang w:val="en-US" w:eastAsia="zh-CN"/>
        </w:rPr>
        <w:t>合同</w:t>
      </w:r>
      <w:r>
        <w:rPr>
          <w:rFonts w:hint="eastAsia" w:ascii="宋体" w:hAnsi="宋体"/>
          <w:sz w:val="21"/>
          <w:highlight w:val="none"/>
          <w:lang w:eastAsia="zh-CN"/>
        </w:rPr>
        <w:t>信息</w:t>
      </w:r>
      <w:r>
        <w:rPr>
          <w:rFonts w:hint="eastAsia"/>
          <w:highlight w:val="none"/>
          <w:lang w:eastAsia="zh-CN"/>
        </w:rPr>
        <w:t>维护</w:t>
      </w:r>
      <w:r>
        <w:rPr>
          <w:rFonts w:hint="eastAsia"/>
          <w:highlight w:val="none"/>
          <w:lang w:val="en-US" w:eastAsia="zh-CN"/>
        </w:rPr>
        <w:t>界面，可在维护界面维护合同</w:t>
      </w:r>
      <w:r>
        <w:rPr>
          <w:rFonts w:hint="eastAsia" w:ascii="宋体" w:hAnsi="宋体"/>
          <w:sz w:val="21"/>
          <w:highlight w:val="none"/>
          <w:lang w:eastAsia="zh-CN"/>
        </w:rPr>
        <w:t>信息。</w:t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65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选择公募基金类的产品信息，自动加载公募基金的合同信息维护界面</w:t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9230" cy="12277090"/>
            <wp:effectExtent l="9525" t="9525" r="9525" b="1206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77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eastAsiaTheme="minorEastAsia"/>
          <w:b/>
          <w:bCs/>
          <w:highlight w:val="none"/>
          <w:lang w:eastAsia="zh-CN"/>
        </w:rPr>
      </w:pPr>
      <w:r>
        <w:rPr>
          <w:rFonts w:hint="eastAsia"/>
          <w:b/>
          <w:bCs/>
          <w:highlight w:val="none"/>
          <w:lang w:eastAsia="zh-CN"/>
        </w:rPr>
        <w:t>元素说明</w:t>
      </w:r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只读；根据产品全称自动带出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资产类型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只读；根据产品全称自动带出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投资市场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加载“所属地区”=‘中国’的市场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投资业务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1.交易所业务；2.银行间业务；3.期货业务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4.场内开基业务；5.ETF申购赎回；6.开放式基金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7.存款类；8.网下申购；9.债券一级市场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10.交易所大宗交易；11.上交所固定收益平台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12.银行间协议转让；13.TA申购赎回业务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14.交易所网下申购询价；15.银行间询价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16.中登基金业务；17.交易所大宗交易询价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证券投资类别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1.股票；2.封闭式基金；3.国债；4.企债；5.可转债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6.政策性金融债；7.债券回购；8.优先股转股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9.基金质押；10.企债标准券；11.债转股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12.配债；13.央行票据；14.存款；15.开放式基金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16.非政策性金融债；17.通用配售权证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18.买断式回购；19.投票；20.次级债；21.次级债务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22.认购权证；23.认股权证；24.认购行权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25.认沽行权；26.债券质押；27.股指期货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28.公司债；29.地方债；30.理财产品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31.国债期货；32.项目投资；33.债券认购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34.申购；35.配售；36.配股；37.债券承销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38.债券申购；39.债券申购款；40.债券配号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41.债券增发；42.债券增发款；43.指定登记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44.撤销指定；45.回购登记；46.回购撤销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47.国债标准券；48.债回售；49.优先股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50.协议质押式回购；51.其他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投资比例限制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411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费用条款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管理费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业绩报酬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托管费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销售服务费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销售费用信息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认购费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申购费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赎回费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其他合同信息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投顾人信息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收益分配条款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开放期条款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开放期确认规则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信息披露条款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业绩比较基准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7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0"/>
        <w:keepNext w:val="0"/>
        <w:keepLines w:val="0"/>
        <w:pageBreakBefore w:val="0"/>
        <w:widowControl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</w:p>
    <w:p>
      <w:pPr>
        <w:numPr>
          <w:ilvl w:val="0"/>
          <w:numId w:val="65"/>
        </w:numPr>
        <w:shd w:val="clear"/>
        <w:ind w:left="0" w:leftChars="0" w:firstLine="420" w:firstLineChars="200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选择专户产品类的产品信息，自动加载专户产品的合同信息维护界面</w:t>
      </w:r>
    </w:p>
    <w:p>
      <w:pPr>
        <w:numPr>
          <w:ilvl w:val="0"/>
          <w:numId w:val="0"/>
        </w:num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8595" cy="14881225"/>
            <wp:effectExtent l="9525" t="9525" r="10160" b="1397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81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元素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说明</w:t>
      </w:r>
    </w:p>
    <w:tbl>
      <w:tblPr>
        <w:tblStyle w:val="21"/>
        <w:tblW w:w="8197" w:type="dxa"/>
        <w:jc w:val="center"/>
        <w:tblInd w:w="-5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8"/>
        <w:gridCol w:w="1255"/>
        <w:gridCol w:w="1467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43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6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产品全称</w:t>
            </w:r>
          </w:p>
        </w:tc>
        <w:tc>
          <w:tcPr>
            <w:tcW w:w="1467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资产代码</w:t>
            </w:r>
          </w:p>
        </w:tc>
        <w:tc>
          <w:tcPr>
            <w:tcW w:w="1467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只读；根据产品全称自动带出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资产类型</w:t>
            </w:r>
          </w:p>
        </w:tc>
        <w:tc>
          <w:tcPr>
            <w:tcW w:w="1467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只读；根据产品全称自动带出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投资信息</w:t>
            </w: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投资市场</w:t>
            </w:r>
          </w:p>
        </w:tc>
        <w:tc>
          <w:tcPr>
            <w:tcW w:w="1467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下拉框；多选</w:t>
            </w:r>
          </w:p>
        </w:tc>
        <w:tc>
          <w:tcPr>
            <w:tcW w:w="1468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加载“所属地区”=‘中国’的市场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投资业务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1.交易所业务；2.银行间业务；3.期货业务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4.场内开基业务；5.ETF申购赎回；6.开放式基金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7.存款类；8.网下申购；9.债券一级市场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10.交易所大宗交易；11.上交所固定收益平台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12.银行间协议转让；13.TA申购赎回业务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14.交易所网下申购询价；15.银行间询价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16.中登基金业务；17.交易所大宗交易询价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证券投资类别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下拉框；多选</w:t>
            </w: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1.股票；2.封闭式基金；3.国债；4.企债；5.可转债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6.政策性金融债；7.债券回购；8.优先股转股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9.基金质押；10.企债标准券；11.债转股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12.配债；13.央行票据；14.存款；15.开放式基金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16.非政策性金融债；17.通用配售权证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18.买断式回购；19.投票；20.次级债；21.次级债务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22.认购权证；23.认股权证；24.认购行权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25.认沽行权；26.债券质押；27.股指期货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28.公司债；29.地方债；30.理财产品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31.国债期货；32.项目投资；33.债券认购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34.申购；35.配售；36.配股；37.债券承销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38.债券申购；39.债券申购款；40.债券配号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41.债券增发；42.债券增发款；43.指定登记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44.撤销指定；45.回购登记；46.回购撤销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47.国债标准券；48.债回售；49.优先股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50.协议质押式回购；51.其他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投资比例限制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388" w:type="dxa"/>
            <w:vMerge w:val="restart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费用条款</w:t>
            </w: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管理费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业绩报酬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托管费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销售服务费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388" w:type="dxa"/>
            <w:vMerge w:val="continue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投资顾问费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销售费用信息</w:t>
            </w: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参与费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退出费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浮动销售服务费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其他合同信息</w:t>
            </w: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投顾人信息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收益分配条款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开放期条款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开放期确认规则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信息披露条款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追加提取条款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业绩比较基准</w:t>
            </w:r>
          </w:p>
        </w:tc>
        <w:tc>
          <w:tcPr>
            <w:tcW w:w="146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预警止损线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估值频率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8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2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备注</w:t>
            </w:r>
          </w:p>
        </w:tc>
        <w:tc>
          <w:tcPr>
            <w:tcW w:w="146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1468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54" w:name="_Toc14859"/>
      <w:r>
        <w:rPr>
          <w:rFonts w:hint="eastAsia"/>
          <w:highlight w:val="none"/>
          <w:lang w:eastAsia="zh-CN"/>
        </w:rPr>
        <w:t>交易单元管理</w:t>
      </w:r>
      <w:bookmarkEnd w:id="354"/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55" w:name="_Toc26443"/>
      <w:r>
        <w:rPr>
          <w:rFonts w:hint="eastAsia"/>
          <w:highlight w:val="none"/>
          <w:lang w:val="en-US" w:eastAsia="zh-CN"/>
        </w:rPr>
        <w:t>交易单元管理主界面</w:t>
      </w:r>
      <w:bookmarkEnd w:id="355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打开【公共功能】--&gt;点击【交易单元管理】；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系统界面加载【交易单元管理】的主界面；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200" w:right="0" w:rightChars="0" w:hanging="420" w:hangingChars="20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3） 主界面上下联动的形式，上区：交易单元信息；下区:交易单元相对应的【交易单元绑定】；左侧【托管机构】信息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4）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点击相应操作按钮，可以对信息进行新增、修改、复制、删除、审核、反审核、查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val="en-US" w:eastAsia="zh-CN"/>
        </w:rPr>
        <w:t>询的操作；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</w:p>
    <w:p>
      <w:pPr>
        <w:shd w:val="clear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267325" cy="2460625"/>
            <wp:effectExtent l="9525" t="9525" r="11430" b="139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0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highlight w:val="none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3.  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bookmarkStart w:id="356" w:name="_Toc8624"/>
      <w:r>
        <w:rPr>
          <w:rFonts w:hint="eastAsia"/>
          <w:highlight w:val="none"/>
          <w:lang w:val="en-US" w:eastAsia="zh-CN"/>
        </w:rPr>
        <w:t>交易单元信息维护</w:t>
      </w:r>
      <w:bookmarkEnd w:id="356"/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选中左侧一条托管机构信息，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交易单元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，跳转至交易单元信息维护</w:t>
      </w:r>
      <w:r>
        <w:rPr>
          <w:rFonts w:hint="eastAsia"/>
          <w:highlight w:val="none"/>
          <w:lang w:val="en-US" w:eastAsia="zh-CN"/>
        </w:rPr>
        <w:t>界面，同时加载托管机构信息，或直接点击</w:t>
      </w:r>
      <w:r>
        <w:rPr>
          <w:highlight w:val="none"/>
        </w:rPr>
        <w:drawing>
          <wp:inline distT="0" distB="0" distL="114300" distR="114300">
            <wp:extent cx="510540" cy="220980"/>
            <wp:effectExtent l="0" t="0" r="7620" b="762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按钮，维护交易单元信息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r>
        <w:rPr>
          <w:rStyle w:val="17"/>
          <w:rFonts w:hint="eastAsia"/>
          <w:color w:val="000000" w:themeColor="text1"/>
          <w:sz w:val="21"/>
          <w:szCs w:val="22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   </w:t>
      </w:r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界面</w:t>
      </w:r>
    </w:p>
    <w:p>
      <w:pPr>
        <w:shd w:val="clear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6055" cy="5354320"/>
            <wp:effectExtent l="9525" t="9525" r="12700" b="1587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354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</w:pPr>
      <w:bookmarkStart w:id="357" w:name="_Toc29442"/>
      <w:r>
        <w:rPr>
          <w:rStyle w:val="17"/>
          <w:rFonts w:hint="eastAsia"/>
          <w:color w:val="000000" w:themeColor="text1"/>
          <w:sz w:val="21"/>
          <w:szCs w:val="22"/>
          <w:highlight w:val="none"/>
          <w:lang w:eastAsia="zh-CN"/>
          <w14:textFill>
            <w14:solidFill>
              <w14:schemeClr w14:val="tx1"/>
            </w14:solidFill>
          </w14:textFill>
        </w:rPr>
        <w:t>元素说明</w:t>
      </w:r>
      <w:bookmarkEnd w:id="357"/>
    </w:p>
    <w:tbl>
      <w:tblPr>
        <w:tblStyle w:val="21"/>
        <w:tblW w:w="8225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"/>
        <w:gridCol w:w="1256"/>
        <w:gridCol w:w="1471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1667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产品信息</w:t>
            </w: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托管行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1）若选中左侧托管行的记录，则直接带入；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2）若没有选中，则加载左侧所有托管行的记录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上海清算编号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根据托管行加载；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券商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加载内容为【主体信息】中的机构，且“主体类型”=‘证券公司’；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411" w:type="dxa"/>
            <w:vMerge w:val="continue"/>
            <w:vAlign w:val="center"/>
          </w:tcPr>
          <w:p>
            <w:pPr>
              <w:shd w:val="clear"/>
              <w:spacing w:line="360" w:lineRule="auto"/>
              <w:jc w:val="left"/>
              <w:rPr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适用产品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只读；根据所选托管行和清算编号自动加载；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eastAsia="zh-CN"/>
              </w:rPr>
              <w:t>交易单元信息</w:t>
            </w: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交易市场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1、加载‘上海证券交易所’‘深圳证券交易所’；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2、列表中第一条记录默认值“上海证券交易所”，第二条记录默认值“深圳证券交易所”；都是只读。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交易单元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必填</w:t>
            </w: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交易单元类型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下拉选项：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1-主席位</w:t>
            </w:r>
          </w:p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2-普通席位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是否指定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下拉框；单选</w:t>
            </w: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0"/>
              </w:num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下拉选项：1-主席位2-普通席位</w:t>
            </w:r>
          </w:p>
          <w:p>
            <w:pPr>
              <w:numPr>
                <w:ilvl w:val="0"/>
                <w:numId w:val="0"/>
              </w:num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“交易市场”=‘上海证券交易所’的填；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“交易市场”=‘深圳证券交易所’的不可填写。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 w:eastAsiaTheme="minor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开通日期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15"/>
                <w:szCs w:val="15"/>
                <w:highlight w:val="no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1" w:type="dxa"/>
            <w:vMerge w:val="continue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sz w:val="15"/>
                <w:szCs w:val="15"/>
                <w:highlight w:val="none"/>
              </w:rPr>
            </w:pPr>
          </w:p>
        </w:tc>
        <w:tc>
          <w:tcPr>
            <w:tcW w:w="12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360" w:lineRule="auto"/>
              <w:jc w:val="left"/>
              <w:textAlignment w:val="center"/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highlight w:val="none"/>
                <w:lang w:val="en-US" w:eastAsia="zh-CN"/>
              </w:rPr>
              <w:t>退租日期</w:t>
            </w:r>
          </w:p>
        </w:tc>
        <w:tc>
          <w:tcPr>
            <w:tcW w:w="1471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1468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</w:tbl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交易单元绑定</w:t>
      </w:r>
    </w:p>
    <w:p>
      <w:pPr>
        <w:shd w:val="clear"/>
        <w:rPr>
          <w:rFonts w:hint="eastAsia"/>
          <w:highlight w:val="none"/>
          <w:lang w:val="en-US" w:eastAsia="zh-CN"/>
        </w:rPr>
      </w:pP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在主界面上方点选一条交易单元信息，联动下方的交易单元绑定，</w:t>
      </w: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02920" cy="251460"/>
            <wp:effectExtent l="0" t="0" r="0" b="762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，跳转至交易单元绑定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，选择相应产品绑定交易单元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1）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绑定界面自动加载已选中的交易单元信息，即“券商”、“交易市场”、“交易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单元”内容；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2）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 xml:space="preserve"> 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若选中的交易单元信息【适用产品】为“公募基金”，则界面中加载的产品信息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为公募基金产品；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若选中的交易单元信息【适用产品】为“专户产品”，则界面中加载的产品信息为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专户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产品；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若选中的交易单元信息【适用产品】为“公募和专户”，则界面中加载的产品信息为公募基金和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专户</w:t>
      </w:r>
      <w:r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  <w:t>产品。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firstLine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9230" cy="3423285"/>
            <wp:effectExtent l="9525" t="9525" r="9525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32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交易单元解绑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选择一条或多条绑定信息，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反审核（已审核记录不可解绑），点击</w:t>
      </w:r>
      <w:r>
        <w:rPr>
          <w:highlight w:val="none"/>
        </w:rPr>
        <w:drawing>
          <wp:inline distT="0" distB="0" distL="114300" distR="114300">
            <wp:extent cx="556260" cy="251460"/>
            <wp:effectExtent l="0" t="0" r="762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按钮，跳转至交易单元解绑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，可取消勾选已绑定的产品，点击保存即可解绑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rStyle w:val="17"/>
          <w:rFonts w:hint="eastAsia"/>
          <w:b w:val="0"/>
          <w:bCs w:val="0"/>
          <w:sz w:val="21"/>
          <w:szCs w:val="22"/>
          <w:highlight w:val="none"/>
          <w:lang w:eastAsia="zh-CN"/>
        </w:rPr>
      </w:pPr>
    </w:p>
    <w:p>
      <w:pPr>
        <w:pStyle w:val="24"/>
        <w:numPr>
          <w:ilvl w:val="0"/>
          <w:numId w:val="0"/>
        </w:num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72405" cy="3500120"/>
            <wp:effectExtent l="9525" t="9525" r="21590" b="1079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bookmarkStart w:id="358" w:name="_Toc26810"/>
      <w:r>
        <w:rPr>
          <w:rFonts w:hint="eastAsia"/>
          <w:highlight w:val="none"/>
          <w:lang w:eastAsia="zh-CN"/>
        </w:rPr>
        <w:t>交易单元绑定</w:t>
      </w:r>
      <w:bookmarkEnd w:id="358"/>
    </w:p>
    <w:p>
      <w:pPr>
        <w:pStyle w:val="4"/>
        <w:shd w:val="clear"/>
        <w:rPr>
          <w:rStyle w:val="17"/>
          <w:rFonts w:hint="eastAsia"/>
          <w:b/>
          <w:bCs/>
          <w:sz w:val="21"/>
          <w:szCs w:val="22"/>
          <w:highlight w:val="none"/>
          <w:lang w:val="en-US" w:eastAsia="zh-CN"/>
        </w:rPr>
      </w:pPr>
      <w:bookmarkStart w:id="359" w:name="_Toc18682"/>
      <w:r>
        <w:rPr>
          <w:rFonts w:hint="eastAsia"/>
          <w:highlight w:val="none"/>
          <w:lang w:val="en-US" w:eastAsia="zh-CN"/>
        </w:rPr>
        <w:t>交易单元绑定主界面</w:t>
      </w:r>
      <w:bookmarkEnd w:id="359"/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sz w:val="21"/>
          <w:szCs w:val="22"/>
          <w:highlight w:val="none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1.</w:t>
      </w: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Style w:val="17"/>
          <w:rFonts w:hint="eastAsia"/>
          <w:sz w:val="21"/>
          <w:szCs w:val="22"/>
          <w:highlight w:val="none"/>
        </w:rPr>
        <w:t>操作说明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1)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打开【公共功能】--&gt;点击【交易单元绑定】；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val="en-US" w:eastAsia="zh-CN"/>
        </w:rPr>
      </w:pPr>
      <w:r>
        <w:rPr>
          <w:rFonts w:hint="eastAsia" w:ascii="宋体" w:hAnsi="宋体"/>
          <w:sz w:val="21"/>
          <w:highlight w:val="none"/>
          <w:lang w:val="en-US" w:eastAsia="zh-CN"/>
        </w:rPr>
        <w:t>2）</w:t>
      </w:r>
      <w:r>
        <w:rPr>
          <w:rFonts w:hint="eastAsia" w:ascii="宋体" w:hAnsi="宋体"/>
          <w:sz w:val="21"/>
          <w:highlight w:val="none"/>
          <w:lang w:val="en-US" w:eastAsia="zh-CN"/>
        </w:rPr>
        <w:tab/>
      </w:r>
      <w:r>
        <w:rPr>
          <w:rFonts w:hint="eastAsia" w:ascii="宋体" w:hAnsi="宋体"/>
          <w:sz w:val="21"/>
          <w:highlight w:val="none"/>
          <w:lang w:eastAsia="zh-CN"/>
        </w:rPr>
        <w:t>系统界面加载【交易单元绑定】的主界面，左侧为产品信息；</w:t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ascii="宋体" w:hAnsi="宋体"/>
          <w:b/>
          <w:bCs/>
          <w:sz w:val="21"/>
          <w:highlight w:val="none"/>
          <w:lang w:val="en-US" w:eastAsia="zh-CN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>2.  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7325" cy="2436495"/>
            <wp:effectExtent l="9525" t="9525" r="11430" b="2286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 w:eastAsiaTheme="minorEastAsia"/>
          <w:b/>
          <w:bCs/>
          <w:highlight w:val="none"/>
          <w:lang w:val="en-US" w:eastAsia="zh-CN"/>
        </w:rPr>
      </w:pPr>
      <w:r>
        <w:rPr>
          <w:rFonts w:hint="eastAsia" w:ascii="宋体" w:hAnsi="宋体"/>
          <w:b/>
          <w:bCs/>
          <w:sz w:val="21"/>
          <w:highlight w:val="none"/>
          <w:lang w:val="en-US" w:eastAsia="zh-CN"/>
        </w:rPr>
        <w:t xml:space="preserve">2.  </w:t>
      </w:r>
      <w:r>
        <w:rPr>
          <w:rFonts w:hint="eastAsia"/>
          <w:b/>
          <w:bCs/>
          <w:highlight w:val="none"/>
          <w:lang w:val="en-US"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选择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点击后进入“绑定界面”；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解绑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已审核数据不可解绑；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复制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单选记录，点击“复制”后，用户在复制界面编辑信息；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4"/>
        <w:shd w:val="clear"/>
        <w:rPr>
          <w:rFonts w:hint="eastAsia"/>
          <w:highlight w:val="none"/>
          <w:lang w:eastAsia="zh-CN"/>
        </w:rPr>
      </w:pPr>
      <w:bookmarkStart w:id="360" w:name="_Toc10415"/>
      <w:r>
        <w:rPr>
          <w:rFonts w:hint="eastAsia"/>
          <w:highlight w:val="none"/>
          <w:lang w:eastAsia="zh-CN"/>
        </w:rPr>
        <w:t>绑定</w:t>
      </w:r>
      <w:bookmarkEnd w:id="360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在主界面左侧点选一条产品信息，</w:t>
      </w:r>
      <w:r>
        <w:rPr>
          <w:rFonts w:hint="eastAsia"/>
          <w:highlight w:val="none"/>
        </w:rPr>
        <w:t>点击</w:t>
      </w:r>
      <w:r>
        <w:rPr>
          <w:highlight w:val="none"/>
        </w:rPr>
        <w:drawing>
          <wp:inline distT="0" distB="0" distL="114300" distR="114300">
            <wp:extent cx="525780" cy="259080"/>
            <wp:effectExtent l="0" t="0" r="762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按钮</w:t>
      </w:r>
      <w:r>
        <w:rPr>
          <w:rFonts w:hint="eastAsia"/>
          <w:highlight w:val="none"/>
          <w:lang w:eastAsia="zh-CN"/>
        </w:rPr>
        <w:t>，或直接点击</w:t>
      </w:r>
      <w:r>
        <w:rPr>
          <w:highlight w:val="none"/>
        </w:rPr>
        <w:drawing>
          <wp:inline distT="0" distB="0" distL="114300" distR="114300">
            <wp:extent cx="525780" cy="259080"/>
            <wp:effectExtent l="0" t="0" r="762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按钮，进入绑定界面，选择相应交易单元信息绑定产品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 w:ascii="宋体" w:hAnsi="宋体"/>
          <w:sz w:val="21"/>
          <w:highlight w:val="none"/>
          <w:lang w:eastAsia="zh-CN"/>
        </w:rPr>
        <w:t>绑定以后，数据同步至【交易单元管理】。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146040" cy="2922270"/>
            <wp:effectExtent l="9525" t="9525" r="10795" b="952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rcRect l="233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9222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rPr>
          <w:rFonts w:hint="eastAsia"/>
          <w:highlight w:val="none"/>
          <w:lang w:eastAsia="zh-CN"/>
        </w:rPr>
      </w:pPr>
      <w:bookmarkStart w:id="361" w:name="_Toc31269"/>
      <w:r>
        <w:rPr>
          <w:rFonts w:hint="eastAsia"/>
          <w:highlight w:val="none"/>
          <w:lang w:eastAsia="zh-CN"/>
        </w:rPr>
        <w:t>解绑</w:t>
      </w:r>
      <w:bookmarkEnd w:id="361"/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 w:right="0" w:rightChars="0"/>
        <w:jc w:val="both"/>
        <w:textAlignment w:val="auto"/>
        <w:outlineLvl w:val="9"/>
        <w:rPr>
          <w:rStyle w:val="17"/>
          <w:rFonts w:hint="eastAsia"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1.   </w:t>
      </w:r>
      <w:r>
        <w:rPr>
          <w:rStyle w:val="17"/>
          <w:rFonts w:hint="eastAsia"/>
          <w:sz w:val="21"/>
          <w:szCs w:val="22"/>
          <w:highlight w:val="none"/>
          <w:lang w:eastAsia="zh-CN"/>
        </w:rPr>
        <w:t>操作说明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/>
          <w:sz w:val="21"/>
          <w:highlight w:val="none"/>
          <w:lang w:eastAsia="zh-CN"/>
        </w:rPr>
      </w:pPr>
      <w:r>
        <w:rPr>
          <w:rFonts w:hint="eastAsia"/>
          <w:highlight w:val="none"/>
          <w:lang w:eastAsia="zh-CN"/>
        </w:rPr>
        <w:t>选择一条或多条绑定信息，</w:t>
      </w: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反审核（已审核记录不可解绑），点击</w:t>
      </w:r>
      <w:r>
        <w:rPr>
          <w:highlight w:val="none"/>
        </w:rPr>
        <w:drawing>
          <wp:inline distT="0" distB="0" distL="114300" distR="114300">
            <wp:extent cx="556260" cy="251460"/>
            <wp:effectExtent l="0" t="0" r="7620" b="762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eastAsia="zh-CN"/>
        </w:rPr>
        <w:t>按钮，跳转至交易单元解绑</w:t>
      </w:r>
      <w:r>
        <w:rPr>
          <w:rFonts w:hint="eastAsia"/>
          <w:highlight w:val="none"/>
          <w:lang w:val="en-US" w:eastAsia="zh-CN"/>
        </w:rPr>
        <w:t>界面</w:t>
      </w:r>
      <w:r>
        <w:rPr>
          <w:rFonts w:hint="eastAsia"/>
          <w:highlight w:val="none"/>
          <w:lang w:eastAsia="zh-CN"/>
        </w:rPr>
        <w:t>，可取消勾选已绑定的交易单元信息，点击保存即可解绑</w:t>
      </w:r>
      <w:r>
        <w:rPr>
          <w:rFonts w:hint="eastAsia" w:ascii="宋体" w:hAnsi="宋体"/>
          <w:sz w:val="21"/>
          <w:highlight w:val="none"/>
          <w:lang w:eastAsia="zh-CN"/>
        </w:rPr>
        <w:t>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 xml:space="preserve">2.   </w:t>
      </w:r>
      <w:r>
        <w:rPr>
          <w:rStyle w:val="17"/>
          <w:rFonts w:hint="eastAsia"/>
          <w:b/>
          <w:bCs/>
          <w:sz w:val="21"/>
          <w:szCs w:val="22"/>
          <w:highlight w:val="none"/>
          <w:lang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jc w:val="both"/>
        <w:rPr>
          <w:rFonts w:hint="eastAsia"/>
          <w:highlight w:val="none"/>
          <w:lang w:eastAsia="zh-CN"/>
        </w:rPr>
      </w:pPr>
      <w:r>
        <w:rPr>
          <w:highlight w:val="none"/>
        </w:rPr>
        <w:drawing>
          <wp:inline distT="0" distB="0" distL="114300" distR="114300">
            <wp:extent cx="5267325" cy="2763520"/>
            <wp:effectExtent l="9525" t="9525" r="11430" b="1587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35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highlight w:val="none"/>
          <w:lang w:val="en-US" w:eastAsia="zh-CN"/>
        </w:rPr>
      </w:pPr>
    </w:p>
    <w:p>
      <w:pPr>
        <w:pStyle w:val="2"/>
        <w:shd w:val="clear"/>
        <w:spacing w:line="360" w:lineRule="auto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提醒管理</w:t>
      </w: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我的任务</w:t>
      </w: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待办任务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【待办任务】为当前用户所有未完成的提醒事项。</w:t>
      </w:r>
    </w:p>
    <w:p>
      <w:pPr>
        <w:pStyle w:val="24"/>
        <w:numPr>
          <w:ilvl w:val="0"/>
          <w:numId w:val="66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67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开始任务</w:t>
      </w:r>
    </w:p>
    <w:p>
      <w:pPr>
        <w:pStyle w:val="24"/>
        <w:numPr>
          <w:ilvl w:val="0"/>
          <w:numId w:val="68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点击“开始任务”按钮，系统记录任务‘开始时间’和‘办理人’；</w:t>
      </w:r>
    </w:p>
    <w:p>
      <w:pPr>
        <w:pStyle w:val="24"/>
        <w:numPr>
          <w:ilvl w:val="0"/>
          <w:numId w:val="68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任务开始后，“完成任务”按钮自动激活；</w:t>
      </w:r>
    </w:p>
    <w:p>
      <w:pPr>
        <w:pStyle w:val="24"/>
        <w:numPr>
          <w:ilvl w:val="0"/>
          <w:numId w:val="68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点击“完成任务”按钮，系统记录任务‘结束时间’，原“待办任务”记录自动转移至“已完成任务”分页。</w:t>
      </w:r>
    </w:p>
    <w:p>
      <w:pPr>
        <w:pStyle w:val="24"/>
        <w:numPr>
          <w:ilvl w:val="0"/>
          <w:numId w:val="67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取消任务</w:t>
      </w:r>
    </w:p>
    <w:p>
      <w:pPr>
        <w:pStyle w:val="24"/>
        <w:numPr>
          <w:ilvl w:val="0"/>
          <w:numId w:val="69"/>
        </w:numPr>
        <w:shd w:val="clear"/>
        <w:spacing w:line="360" w:lineRule="auto"/>
        <w:ind w:left="42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点击“取消任务”按钮，系统记录任务‘结束时间’；</w:t>
      </w:r>
    </w:p>
    <w:p>
      <w:pPr>
        <w:pStyle w:val="24"/>
        <w:numPr>
          <w:ilvl w:val="0"/>
          <w:numId w:val="69"/>
        </w:numPr>
        <w:shd w:val="clear"/>
        <w:spacing w:line="360" w:lineRule="auto"/>
        <w:ind w:left="42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原“待办任务”记录自动转移至“已完成任务”分页。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66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功能逻辑</w:t>
      </w:r>
    </w:p>
    <w:p>
      <w:pPr>
        <w:pStyle w:val="24"/>
        <w:numPr>
          <w:ilvl w:val="0"/>
          <w:numId w:val="70"/>
        </w:numPr>
        <w:shd w:val="clear"/>
        <w:spacing w:line="360" w:lineRule="auto"/>
        <w:ind w:left="84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任务记录的颜色</w:t>
      </w:r>
    </w:p>
    <w:p>
      <w:pPr>
        <w:pStyle w:val="24"/>
        <w:numPr>
          <w:ilvl w:val="0"/>
          <w:numId w:val="7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“红色”表示‘该任务紧急’，需当前用户关注并尽快完成；</w:t>
      </w:r>
    </w:p>
    <w:p>
      <w:pPr>
        <w:pStyle w:val="24"/>
        <w:numPr>
          <w:ilvl w:val="0"/>
          <w:numId w:val="7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触发红色任务有两种情况：</w:t>
      </w:r>
    </w:p>
    <w:p>
      <w:pPr>
        <w:pStyle w:val="24"/>
        <w:numPr>
          <w:ilvl w:val="0"/>
          <w:numId w:val="72"/>
        </w:numPr>
        <w:shd w:val="clear"/>
        <w:spacing w:line="360" w:lineRule="auto"/>
        <w:ind w:left="840" w:leftChars="0" w:hanging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催办；</w:t>
      </w:r>
    </w:p>
    <w:p>
      <w:pPr>
        <w:pStyle w:val="24"/>
        <w:numPr>
          <w:ilvl w:val="0"/>
          <w:numId w:val="72"/>
        </w:numPr>
        <w:shd w:val="clear"/>
        <w:spacing w:line="360" w:lineRule="auto"/>
        <w:ind w:left="840" w:leftChars="0" w:hanging="42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当前日期超过“任务截止日”。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0" w:left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66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09215"/>
            <wp:effectExtent l="0" t="0" r="5715" b="1206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66"/>
        </w:numPr>
        <w:shd w:val="clear"/>
        <w:spacing w:line="360" w:lineRule="auto"/>
        <w:ind w:left="0" w:leftChars="0" w:firstLine="422" w:firstLine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记录任务的开始时间；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记录任务的办理人，即点击“开始任务”的用户；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已结束任务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记录当前用户已完成、已取消的任务记录。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【待办任务】中，点击“完成任务”/“取消任务”后，任务记录进入【已结束任务】。</w:t>
      </w:r>
    </w:p>
    <w:p>
      <w:pPr>
        <w:pStyle w:val="24"/>
        <w:numPr>
          <w:ilvl w:val="0"/>
          <w:numId w:val="7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74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激活任务</w:t>
      </w:r>
    </w:p>
    <w:p>
      <w:pPr>
        <w:pStyle w:val="24"/>
        <w:numPr>
          <w:ilvl w:val="0"/>
          <w:numId w:val="75"/>
        </w:numPr>
        <w:shd w:val="clear"/>
        <w:spacing w:line="360" w:lineRule="auto"/>
        <w:ind w:left="425" w:leftChars="0" w:firstLine="0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点击“激活任务”按钮；</w:t>
      </w:r>
    </w:p>
    <w:p>
      <w:pPr>
        <w:pStyle w:val="24"/>
        <w:numPr>
          <w:ilvl w:val="0"/>
          <w:numId w:val="75"/>
        </w:numPr>
        <w:shd w:val="clear"/>
        <w:spacing w:line="360" w:lineRule="auto"/>
        <w:ind w:left="425" w:leftChars="0" w:firstLine="0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被取消的任务记录进入【待办任务】；</w:t>
      </w:r>
    </w:p>
    <w:p>
      <w:pPr>
        <w:pStyle w:val="24"/>
        <w:numPr>
          <w:ilvl w:val="0"/>
          <w:numId w:val="75"/>
        </w:numPr>
        <w:shd w:val="clear"/>
        <w:spacing w:line="360" w:lineRule="auto"/>
        <w:ind w:left="4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任务被激活，可重新开始任务。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25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7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7325" cy="2609215"/>
            <wp:effectExtent l="0" t="0" r="5715" b="1206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7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记录任务的“开始时间”；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记录任务的“完成时间”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/“取消时间”；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的用户；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所有待办任务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整合主管、领导所管理人员的所有待办任务。</w:t>
      </w:r>
    </w:p>
    <w:p>
      <w:pPr>
        <w:pStyle w:val="24"/>
        <w:numPr>
          <w:ilvl w:val="0"/>
          <w:numId w:val="76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77"/>
        </w:numPr>
        <w:shd w:val="clear"/>
        <w:spacing w:line="360" w:lineRule="auto"/>
        <w:ind w:left="4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催办</w:t>
      </w:r>
    </w:p>
    <w:p>
      <w:pPr>
        <w:pStyle w:val="24"/>
        <w:numPr>
          <w:ilvl w:val="0"/>
          <w:numId w:val="78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点击“催办”按钮，待办任务的状态变更为“催办”；</w:t>
      </w:r>
    </w:p>
    <w:p>
      <w:pPr>
        <w:pStyle w:val="24"/>
        <w:numPr>
          <w:ilvl w:val="0"/>
          <w:numId w:val="78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系统自动发送“催办”邮件、短信至当事人。</w:t>
      </w:r>
    </w:p>
    <w:p>
      <w:pPr>
        <w:pStyle w:val="24"/>
        <w:numPr>
          <w:ilvl w:val="0"/>
          <w:numId w:val="77"/>
        </w:numPr>
        <w:shd w:val="clear"/>
        <w:spacing w:line="360" w:lineRule="auto"/>
        <w:ind w:left="4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取消任务</w:t>
      </w:r>
    </w:p>
    <w:p>
      <w:pPr>
        <w:pStyle w:val="24"/>
        <w:numPr>
          <w:ilvl w:val="0"/>
          <w:numId w:val="79"/>
        </w:numPr>
        <w:shd w:val="clear"/>
        <w:spacing w:line="360" w:lineRule="auto"/>
        <w:ind w:left="42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点击“取消任务”按钮，系统记录任务‘结束时间’；</w:t>
      </w:r>
    </w:p>
    <w:p>
      <w:pPr>
        <w:pStyle w:val="24"/>
        <w:numPr>
          <w:ilvl w:val="0"/>
          <w:numId w:val="79"/>
        </w:numPr>
        <w:shd w:val="clear"/>
        <w:spacing w:line="360" w:lineRule="auto"/>
        <w:ind w:left="42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原“待办任务”记录自动转移至“已完成任务”分页。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76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09215"/>
            <wp:effectExtent l="0" t="0" r="5715" b="1206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76"/>
        </w:numPr>
        <w:shd w:val="clear"/>
        <w:spacing w:line="360" w:lineRule="auto"/>
        <w:ind w:left="0" w:leftChars="0" w:firstLine="400" w:firstLineChars="0"/>
        <w:rPr>
          <w:rFonts w:hint="eastAsia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记录任务的开始时间；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记录任务的办理人，即点击“开始任务”的用户；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所有已结束任务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整合主管、领导所管理人员的所有已完成、已结束任务。</w:t>
      </w:r>
    </w:p>
    <w:p>
      <w:pPr>
        <w:pStyle w:val="24"/>
        <w:numPr>
          <w:ilvl w:val="0"/>
          <w:numId w:val="8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81"/>
        </w:numPr>
        <w:shd w:val="clear"/>
        <w:spacing w:line="360" w:lineRule="auto"/>
        <w:ind w:left="425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激活任务</w:t>
      </w:r>
    </w:p>
    <w:p>
      <w:pPr>
        <w:pStyle w:val="24"/>
        <w:numPr>
          <w:ilvl w:val="0"/>
          <w:numId w:val="82"/>
        </w:numPr>
        <w:shd w:val="clear"/>
        <w:spacing w:line="360" w:lineRule="auto"/>
        <w:ind w:left="425" w:leftChars="0" w:hanging="425" w:firstLineChars="0"/>
        <w:jc w:val="left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点击“激活任务”按钮；</w:t>
      </w:r>
    </w:p>
    <w:p>
      <w:pPr>
        <w:pStyle w:val="24"/>
        <w:numPr>
          <w:ilvl w:val="0"/>
          <w:numId w:val="82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被取消的任务记录进入【待办任务】；</w:t>
      </w:r>
    </w:p>
    <w:p>
      <w:pPr>
        <w:pStyle w:val="24"/>
        <w:numPr>
          <w:ilvl w:val="0"/>
          <w:numId w:val="82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任务被激活，可重新“开始任务”。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8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09215"/>
            <wp:effectExtent l="0" t="0" r="5715" b="1206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提醒岗位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所有属于该岗位的人员都有权限操作该任务；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任务截止日期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该任务的完成截止日，若截至日前还未完成，则系统自动发送提示邮件、短信至当事人及其领导；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记录任务的“开始时间”；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结束时间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记录任务的“完成时间”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/“取消时间”；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办理人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记录任务的办理人，即点击“开始任务”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/“取消任务”</w:t>
            </w: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的用户；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业务状态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1-待办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2-催办（领导点击“催办”后，记录状态变更为“催办”）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3-办理中（点击“开始任务”，记录状态变更为“办理中”）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产品日历</w:t>
      </w:r>
    </w:p>
    <w:p>
      <w:pPr>
        <w:pStyle w:val="24"/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产品日历分三个区域：1-查询区域；2-日历区域；3-提醒事项区域。</w:t>
      </w:r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84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查询提醒事项（通过查询条件实现）</w:t>
      </w:r>
    </w:p>
    <w:p>
      <w:pPr>
        <w:pStyle w:val="24"/>
        <w:numPr>
          <w:ilvl w:val="0"/>
          <w:numId w:val="85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在【查询区域】输入查询条件，点击“查询”；</w:t>
      </w:r>
    </w:p>
    <w:p>
      <w:pPr>
        <w:pStyle w:val="24"/>
        <w:numPr>
          <w:ilvl w:val="0"/>
          <w:numId w:val="85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符合查询条件的日期，在【日历区域】中以“红色”展示。</w:t>
      </w:r>
    </w:p>
    <w:p>
      <w:pPr>
        <w:pStyle w:val="24"/>
        <w:numPr>
          <w:ilvl w:val="0"/>
          <w:numId w:val="84"/>
        </w:numPr>
        <w:shd w:val="clear"/>
        <w:spacing w:line="360" w:lineRule="auto"/>
        <w:ind w:left="400"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查看“特定日期”提醒事项</w:t>
      </w:r>
    </w:p>
    <w:p>
      <w:pPr>
        <w:pStyle w:val="24"/>
        <w:numPr>
          <w:ilvl w:val="0"/>
          <w:numId w:val="8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在【日历区域】选中特定的日期；</w:t>
      </w:r>
    </w:p>
    <w:p>
      <w:pPr>
        <w:pStyle w:val="24"/>
        <w:numPr>
          <w:ilvl w:val="0"/>
          <w:numId w:val="86"/>
        </w:numPr>
        <w:shd w:val="clear"/>
        <w:spacing w:line="360" w:lineRule="auto"/>
        <w:ind w:left="126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【提醒事项区域】展示所选日期所有的“提醒事件”。</w:t>
      </w:r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24145" cy="3507740"/>
            <wp:effectExtent l="0" t="0" r="3175" b="12700"/>
            <wp:docPr id="17" name="图片 2" descr="from clip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from clipboard"/>
                    <pic:cNvPicPr>
                      <a:picLocks noChangeAspect="1"/>
                    </pic:cNvPicPr>
                  </pic:nvPicPr>
                  <pic:blipFill>
                    <a:blip r:embed="rId84" r:link="rId85"/>
                    <a:srcRect t="814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3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p>
      <w:pPr>
        <w:pStyle w:val="24"/>
        <w:numPr>
          <w:ilvl w:val="0"/>
          <w:numId w:val="87"/>
        </w:numPr>
        <w:shd w:val="clear"/>
        <w:spacing w:line="360" w:lineRule="auto"/>
        <w:ind w:left="84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查询区域</w:t>
      </w:r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6"/>
        <w:gridCol w:w="1471"/>
        <w:gridCol w:w="1468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1256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47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46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选择产品记录；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分级代码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选择产品记录项下的分级产品；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下拉单选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加载自【提醒类型管理】的提醒类型记录；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查看类型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下拉大选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numPr>
                <w:ilvl w:val="0"/>
                <w:numId w:val="88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业务提醒（日历中只展示：办理业务的日期）</w:t>
            </w:r>
          </w:p>
          <w:p>
            <w:pPr>
              <w:numPr>
                <w:ilvl w:val="0"/>
                <w:numId w:val="0"/>
              </w:num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（默认项）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2-所有提醒（日历中展示：办理业务的日期以及提醒办理业务的日期）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开始日期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查询开始日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256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结束日期</w:t>
            </w:r>
          </w:p>
        </w:tc>
        <w:tc>
          <w:tcPr>
            <w:tcW w:w="1471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日期</w:t>
            </w:r>
          </w:p>
        </w:tc>
        <w:tc>
          <w:tcPr>
            <w:tcW w:w="1468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15"/>
                <w:szCs w:val="15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  <w:t>查询结束日</w:t>
            </w:r>
          </w:p>
        </w:tc>
      </w:tr>
    </w:tbl>
    <w:p>
      <w:pPr>
        <w:pStyle w:val="24"/>
        <w:numPr>
          <w:ilvl w:val="0"/>
          <w:numId w:val="87"/>
        </w:numPr>
        <w:shd w:val="clear"/>
        <w:spacing w:line="360" w:lineRule="auto"/>
        <w:ind w:left="84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提醒事项区域</w:t>
      </w:r>
    </w:p>
    <w:tbl>
      <w:tblPr>
        <w:tblStyle w:val="21"/>
        <w:tblW w:w="7199" w:type="dxa"/>
        <w:jc w:val="center"/>
        <w:tblInd w:w="-1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8"/>
        <w:gridCol w:w="4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273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446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提醒类型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提醒事件的类型，如:产品开放、收益分配、到期等...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资产代码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查看属于哪个产品的提醒事件；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产品全称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查看属于哪个产品的提醒事件；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当前提醒事项的业务日期；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距离业务日期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当前提醒事项距离业务日期的天数；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‘0天’表示当天为业务日期；</w:t>
            </w:r>
          </w:p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‘1天’表示距离业务日期还剩一天，即明天；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2738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val="en-US" w:eastAsia="zh-CN"/>
              </w:rPr>
              <w:t>提醒内容</w:t>
            </w:r>
          </w:p>
        </w:tc>
        <w:tc>
          <w:tcPr>
            <w:tcW w:w="4461" w:type="dxa"/>
            <w:vAlign w:val="center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15"/>
                <w:szCs w:val="15"/>
                <w:highlight w:val="none"/>
                <w:lang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产品提醒</w:t>
      </w: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产品提醒主界面</w:t>
      </w:r>
    </w:p>
    <w:p>
      <w:pPr>
        <w:pStyle w:val="24"/>
        <w:numPr>
          <w:ilvl w:val="0"/>
          <w:numId w:val="8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90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点击“产品提醒”，进入功能界面；</w:t>
      </w:r>
    </w:p>
    <w:p>
      <w:pPr>
        <w:pStyle w:val="24"/>
        <w:numPr>
          <w:ilvl w:val="0"/>
          <w:numId w:val="90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点击“添加”按钮，打开“产品提醒”的设置界面；</w:t>
      </w:r>
    </w:p>
    <w:p>
      <w:pPr>
        <w:pStyle w:val="24"/>
        <w:numPr>
          <w:ilvl w:val="0"/>
          <w:numId w:val="90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填写“产品提醒”设置参数，“保存”；</w:t>
      </w:r>
    </w:p>
    <w:p>
      <w:pPr>
        <w:pStyle w:val="24"/>
        <w:numPr>
          <w:ilvl w:val="0"/>
          <w:numId w:val="90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选中“产品提醒”记录，进行“审核”。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8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96210"/>
            <wp:effectExtent l="0" t="0" r="5715" b="127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9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pStyle w:val="24"/>
        <w:numPr>
          <w:ilvl w:val="0"/>
          <w:numId w:val="0"/>
        </w:numPr>
        <w:shd w:val="clear"/>
        <w:spacing w:line="360" w:lineRule="auto"/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产品提醒设置界面</w:t>
      </w:r>
    </w:p>
    <w:p>
      <w:pPr>
        <w:pStyle w:val="24"/>
        <w:numPr>
          <w:ilvl w:val="0"/>
          <w:numId w:val="9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9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8167370"/>
            <wp:effectExtent l="9525" t="9525" r="11430" b="222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67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91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4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415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基本信息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节假日群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1-中国节假日群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2-香港节假日群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3-港股通节假日群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产品全称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下拉多选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highlight w:val="none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分级代码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选择多个产品时，不可选择分级产品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下拉单选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加载【提醒类型管理】中的记录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规则生效日期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restart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1.设置后，本参数决定需要生成“业务日期”的时间范围；</w:t>
            </w:r>
          </w:p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2.如生效-失效日期为：2018-01-01——2018-12-31，则仅生成2018年的“业务日期”；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规则失效日期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continue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提醒内容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填写提示事项的内容；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合同条款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提醒参数设置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1、选项及选项说明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1-提醒规则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（设置提醒规则及其他参数后，生成提醒日期）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（选择‘指定日期’后，在该日期进行提醒）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3-指定连续日期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（选择‘指定连续日期’后，在该指定连续日进行提醒）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1、“设置类型”=‘提醒规则’时展示；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2、选项：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1-无基准日期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2-指定基准日期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3-指定基准月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4-成立日期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5-募集开始日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6-募集截止日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7-提前结束募集日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8-清算日期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92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“基准类型”=‘指定基准日期’时，本字段由用户自行选择‘日期’；</w:t>
            </w:r>
          </w:p>
          <w:p>
            <w:pPr>
              <w:numPr>
                <w:ilvl w:val="0"/>
                <w:numId w:val="92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“基准类型”=‘成立日期’/‘募集开始日’/‘募集截止日’/‘提前结束募集日’/‘清算日期’时，本字段不可编辑，系统自动获取产品的该日期；</w:t>
            </w:r>
          </w:p>
          <w:p>
            <w:pPr>
              <w:numPr>
                <w:ilvl w:val="0"/>
                <w:numId w:val="92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“基准类型”=‘无基准日期’时，本字段隐藏；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1、“设置类型”=‘指定日期’时展示；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指定月份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1、“基准类型”=‘指定基准月’时，本字段由用户自行选择‘月份’；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起始日期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restart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1、“设置类型”=‘指定连续日期’时展示；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截止日期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Merge w:val="continue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1、当“基准类型”不等于‘无基准日’时展示；</w:t>
            </w:r>
          </w:p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2、搭配字段“基准日期”、“指定月份”使用，表示从基准时间开始，间隔“封闭期”以后，提醒事项才开始生效；例如：成立日起，满六个月，每三个月的第一个工作日产品开放。“六个月”即为封闭期。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1-年（自然年）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2-年（运作年）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3-月（自然月）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4-月（运作月）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提醒规则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numPr>
                <w:ilvl w:val="0"/>
                <w:numId w:val="93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选择需要使用的提醒规则；</w:t>
            </w:r>
          </w:p>
          <w:p>
            <w:pPr>
              <w:numPr>
                <w:ilvl w:val="0"/>
                <w:numId w:val="93"/>
              </w:num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提醒规则加载自【提醒规则管理】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提醒岗位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提醒频率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94"/>
              </w:numPr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用于设定从‘首次提醒日’开始至‘业务日期’，提醒当事人的频率；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4"/>
              </w:numPr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结合字段“提前N天提醒”使用；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3、选项和说明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0-每工作日提醒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（‘首次提醒日’至‘业务日期’每天提醒当事人员）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1-一次性提醒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（仅在‘首次提醒日’提醒当事人员）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2-周一提醒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（每周一提醒当事人员）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提前N天提醒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在‘业务日期’的基础上，设定需要提前提醒当事人员的天数；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节假日调整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0-遇节假日提前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1-遇节假日顺延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2-不遇节假日顺延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任务截止日（#N）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设定提醒事项的完成截止日，若到期到点未完成任务，系统自动发送邮件及短信提醒至当事人及其主管；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任务截止日（#单位）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设置内容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点击按钮“生成设置”，系统根据用户设置的提醒参数，自动生成标准化的文字。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公用提醒</w:t>
      </w: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公用提醒主界面</w:t>
      </w:r>
    </w:p>
    <w:p>
      <w:pPr>
        <w:pStyle w:val="24"/>
        <w:numPr>
          <w:ilvl w:val="0"/>
          <w:numId w:val="9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96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点击“公用提醒”，进入功能界面；</w:t>
      </w:r>
    </w:p>
    <w:p>
      <w:pPr>
        <w:pStyle w:val="24"/>
        <w:numPr>
          <w:ilvl w:val="0"/>
          <w:numId w:val="96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点击“添加”按钮，打开“公用提醒”的设置界面；</w:t>
      </w:r>
    </w:p>
    <w:p>
      <w:pPr>
        <w:pStyle w:val="24"/>
        <w:numPr>
          <w:ilvl w:val="0"/>
          <w:numId w:val="96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填写“公用提醒”设置参数，“保存”；</w:t>
      </w:r>
    </w:p>
    <w:p>
      <w:pPr>
        <w:pStyle w:val="24"/>
        <w:numPr>
          <w:ilvl w:val="0"/>
          <w:numId w:val="96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选中“公用提醒”记录，进行“审核”。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9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96210"/>
            <wp:effectExtent l="0" t="0" r="5715" b="127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95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公用提醒设置界面</w:t>
      </w:r>
    </w:p>
    <w:p>
      <w:pPr>
        <w:pStyle w:val="24"/>
        <w:numPr>
          <w:ilvl w:val="0"/>
          <w:numId w:val="9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9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9865" cy="7037070"/>
            <wp:effectExtent l="9525" t="9525" r="2413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37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97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8557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"/>
        <w:gridCol w:w="1773"/>
        <w:gridCol w:w="1282"/>
        <w:gridCol w:w="1672"/>
        <w:gridCol w:w="3381"/>
        <w:gridCol w:w="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4" w:type="dxa"/>
          <w:jc w:val="center"/>
        </w:trPr>
        <w:tc>
          <w:tcPr>
            <w:tcW w:w="2188" w:type="dxa"/>
            <w:gridSpan w:val="2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/>
              </w:rPr>
              <w:t>元素</w:t>
            </w:r>
          </w:p>
        </w:tc>
        <w:tc>
          <w:tcPr>
            <w:tcW w:w="128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672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381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基本信息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加载【提醒类型管理】中的记录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highlight w:val="none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设置类型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1、选项及选项说明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1-提醒规则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（设置提醒规则及其他参数后，生成提醒日期）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2-指定日期</w:t>
            </w:r>
          </w:p>
          <w:p>
            <w:pPr>
              <w:keepNext w:val="0"/>
              <w:keepLines w:val="0"/>
              <w:widowControl/>
              <w:suppressLineNumbers w:val="0"/>
              <w:ind w:left="0" w:left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（选择‘指定日期’后，在该日期进行提醒）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3-指定连续日期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（选择‘指定连续日期’后，在该指定连续日进行提醒）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规则生效日期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1.设置后，本参数决定需要生成“业务日期”的时间范围；</w:t>
            </w:r>
          </w:p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2.如生效-失效日期为：2018-01-01——2018-12-31，则仅生成2018年的“业务日期”；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规则失效日期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continue"/>
            <w:tcBorders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提醒内容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填写提示事项的内容；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合同条款</w:t>
            </w:r>
          </w:p>
        </w:tc>
        <w:tc>
          <w:tcPr>
            <w:tcW w:w="128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提醒参数设置</w:t>
            </w: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基准类型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1、“设置类型”=‘提醒规则’时展示；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2、选项：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1-无基准日期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2-指定基准日期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3-指定基准月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4-成立日期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5-募集开始日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6-募集截止日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7-提前结束募集日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8-清算日期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指定日期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1、“设置类型”=‘指定日期’时展示；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起始日期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restart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1、“设置类型”=‘指定连续日期’时展示；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截止日期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Merge w:val="continue"/>
            <w:tcBorders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1、当“基准类型”不等于‘无基准日’时展示；</w:t>
            </w:r>
          </w:p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2、搭配字段“基准日期”、“指定月份”使用，表示从基准时间开始，间隔“封闭期”以后，提醒事项才开始生效；例如：成立日起，满六个月，每三个月的第一个工作日产品开放。“六个月”即为封闭期。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封闭期单位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1-年（自然年）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2-年（运作年）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3-月（自然月）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4-月（运作月）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提醒规则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numPr>
                <w:ilvl w:val="0"/>
                <w:numId w:val="98"/>
              </w:numPr>
              <w:ind w:left="0" w:leftChars="0" w:firstLine="0" w:firstLineChars="0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选择需要使用的提醒规则；</w:t>
            </w:r>
          </w:p>
          <w:p>
            <w:pPr>
              <w:numPr>
                <w:ilvl w:val="0"/>
                <w:numId w:val="98"/>
              </w:numPr>
              <w:ind w:left="0" w:leftChars="0" w:firstLine="0" w:firstLineChars="0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提醒规则加载自【提醒规则管理】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提醒岗位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提醒频率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99"/>
              </w:numPr>
              <w:suppressLineNumbers w:val="0"/>
              <w:ind w:left="0" w:leftChars="0" w:firstLine="420" w:firstLineChars="20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用于设定从‘首次提醒日’开始至‘业务日期’，提醒当事人的频率；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9"/>
              </w:numPr>
              <w:suppressLineNumbers w:val="0"/>
              <w:ind w:left="0" w:leftChars="0" w:firstLine="420" w:firstLineChars="20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结合字段“提前N天提醒”使用；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9"/>
              </w:numPr>
              <w:suppressLineNumbers w:val="0"/>
              <w:ind w:left="0" w:leftChars="0" w:firstLine="420" w:firstLineChars="20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选项和说明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0-每工作日提醒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（‘首次提醒日’至‘业务日期’每天提醒当事人员）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1-一次性提醒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（仅在‘首次提醒日’提醒当事人员）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2-周一提醒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（每周一提醒当事人员）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提前N天提醒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在‘业务日期’的基础上，设定需要提前提醒当事人员的天数；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单位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节假日调整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0-遇节假日提前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1-遇节假日顺延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2-不遇节假日顺延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任务截止日（#N）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bookmarkStart w:id="362" w:name="_GoBack"/>
            <w:bookmarkEnd w:id="362"/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设定提醒事项的完成截止日，若到期到点未完成任务，系统自动发送邮件及短信提醒至当事人及其主管；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任务截止日（#单位）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0-自然日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2-周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任务截止时间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5" w:type="dxa"/>
            <w:vMerge w:val="continue"/>
            <w:vAlign w:val="center"/>
          </w:tcPr>
          <w:p>
            <w:pPr>
              <w:jc w:val="center"/>
              <w:rPr>
                <w:rFonts w:hint="eastAsia"/>
                <w:color w:val="000000" w:themeColor="text1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 w:themeColor="text1"/>
                <w:sz w:val="21"/>
                <w:szCs w:val="21"/>
                <w:highlight w:val="no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设置内容</w:t>
            </w:r>
          </w:p>
        </w:tc>
        <w:tc>
          <w:tcPr>
            <w:tcW w:w="128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2" w:type="dxa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15" w:type="dxa"/>
            <w:gridSpan w:val="2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点击按钮“生成设置”，系统根据用户设置的提醒参数，自动生成标准化的文字。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提醒规则管理</w:t>
      </w: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提醒规则管理主界面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用户创建的所有提醒规则在本界面统一管理。</w:t>
      </w:r>
    </w:p>
    <w:p>
      <w:pPr>
        <w:pStyle w:val="24"/>
        <w:numPr>
          <w:ilvl w:val="0"/>
          <w:numId w:val="10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10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点击进入【提醒规则管理】功能；</w:t>
      </w:r>
    </w:p>
    <w:p>
      <w:pPr>
        <w:pStyle w:val="24"/>
        <w:numPr>
          <w:ilvl w:val="0"/>
          <w:numId w:val="10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点击“添加”按钮，打开提醒规则的创建界面；</w:t>
      </w:r>
    </w:p>
    <w:p>
      <w:pPr>
        <w:pStyle w:val="24"/>
        <w:numPr>
          <w:ilvl w:val="0"/>
          <w:numId w:val="10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填写规则参数，“保存”；</w:t>
      </w:r>
    </w:p>
    <w:p>
      <w:pPr>
        <w:pStyle w:val="24"/>
        <w:numPr>
          <w:ilvl w:val="0"/>
          <w:numId w:val="101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选中规则，进行“审核”。</w:t>
      </w:r>
    </w:p>
    <w:p>
      <w:pPr>
        <w:pStyle w:val="24"/>
        <w:numPr>
          <w:ilvl w:val="0"/>
          <w:numId w:val="10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drawing>
          <wp:inline distT="0" distB="0" distL="114300" distR="114300">
            <wp:extent cx="5267325" cy="2696210"/>
            <wp:effectExtent l="0" t="0" r="5715" b="127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00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按钮说明</w:t>
      </w:r>
    </w:p>
    <w:tbl>
      <w:tblPr>
        <w:tblStyle w:val="21"/>
        <w:tblW w:w="7591" w:type="dxa"/>
        <w:jc w:val="center"/>
        <w:tblInd w:w="1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9"/>
        <w:gridCol w:w="57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49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按钮</w:t>
            </w:r>
          </w:p>
        </w:tc>
        <w:tc>
          <w:tcPr>
            <w:tcW w:w="5742" w:type="dxa"/>
            <w:shd w:val="clear" w:color="auto" w:fill="BDD6EE" w:themeFill="accent1" w:themeFillTint="66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添加</w:t>
            </w:r>
          </w:p>
        </w:tc>
        <w:tc>
          <w:tcPr>
            <w:tcW w:w="5742" w:type="dxa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新增记录，点击后进入“编辑界面”；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修改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1.单选记录，修改信息；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2.已审核数据不可修改；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删除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1.单选/多选记录，进行“删除”操作；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2.只可删除“未审核”的记录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查看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1.“双击”记录，打开查看界面；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2.查看信息时不可编辑；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2.审核后，记录不可修改、删除；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反审核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1.单选/多选记录，进行“反审核”操作；</w:t>
            </w:r>
          </w:p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2.反审核后，可对记录进行修改、删除；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9" w:type="dxa"/>
            <w:vAlign w:val="top"/>
          </w:tcPr>
          <w:p>
            <w:pPr>
              <w:pStyle w:val="30"/>
              <w:shd w:val="clear"/>
              <w:spacing w:line="360" w:lineRule="auto"/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highlight w:val="none"/>
                <w:vertAlign w:val="baseline"/>
                <w:lang w:val="en-US" w:eastAsia="zh-CN"/>
              </w:rPr>
              <w:t>查询</w:t>
            </w:r>
          </w:p>
        </w:tc>
        <w:tc>
          <w:tcPr>
            <w:tcW w:w="5742" w:type="dxa"/>
            <w:vAlign w:val="top"/>
          </w:tcPr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1.支持模糊查询；</w:t>
            </w:r>
          </w:p>
          <w:p>
            <w:pPr>
              <w:pStyle w:val="30"/>
              <w:numPr>
                <w:ilvl w:val="0"/>
                <w:numId w:val="0"/>
              </w:numPr>
              <w:shd w:val="clear"/>
              <w:spacing w:line="360" w:lineRule="auto"/>
              <w:ind w:leftChars="0"/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  <w:lang w:val="en-US" w:eastAsia="zh-CN"/>
              </w:rPr>
              <w:t>2.输入“查询条件”后，点击“查询”，进行查询操作；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提醒规则设置界面</w:t>
      </w:r>
    </w:p>
    <w:p>
      <w:pPr>
        <w:pStyle w:val="24"/>
        <w:numPr>
          <w:ilvl w:val="0"/>
          <w:numId w:val="102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103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填写规则的设置参数；</w:t>
      </w:r>
    </w:p>
    <w:p>
      <w:pPr>
        <w:pStyle w:val="24"/>
        <w:numPr>
          <w:ilvl w:val="0"/>
          <w:numId w:val="103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点击“生成规则”，系统根据所填写的规则参数生成标准化的规则描述；</w:t>
      </w:r>
    </w:p>
    <w:p>
      <w:pPr>
        <w:pStyle w:val="24"/>
        <w:numPr>
          <w:ilvl w:val="0"/>
          <w:numId w:val="103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点击“保存”，规则设置完毕。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Chars="20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</w:p>
    <w:p>
      <w:pPr>
        <w:pStyle w:val="24"/>
        <w:numPr>
          <w:ilvl w:val="0"/>
          <w:numId w:val="102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7325" cy="2693035"/>
            <wp:effectExtent l="0" t="0" r="5715" b="44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4"/>
        <w:numPr>
          <w:ilvl w:val="0"/>
          <w:numId w:val="102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字段说明</w:t>
      </w:r>
    </w:p>
    <w:tbl>
      <w:tblPr>
        <w:tblStyle w:val="21"/>
        <w:tblW w:w="7814" w:type="dxa"/>
        <w:jc w:val="center"/>
        <w:tblInd w:w="-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300"/>
        <w:gridCol w:w="1117"/>
        <w:gridCol w:w="3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  <w:jc w:val="center"/>
        </w:trPr>
        <w:tc>
          <w:tcPr>
            <w:tcW w:w="1778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元素</w:t>
            </w:r>
          </w:p>
        </w:tc>
        <w:tc>
          <w:tcPr>
            <w:tcW w:w="1300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控件类型</w:t>
            </w:r>
          </w:p>
        </w:tc>
        <w:tc>
          <w:tcPr>
            <w:tcW w:w="1117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highlight w:val="none"/>
                <w:lang w:val="en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必填项</w:t>
            </w:r>
          </w:p>
        </w:tc>
        <w:tc>
          <w:tcPr>
            <w:tcW w:w="3619" w:type="dxa"/>
            <w:shd w:val="clear" w:color="auto" w:fill="BDD6EE" w:themeFill="accent1" w:themeFillTint="66"/>
            <w:vAlign w:val="top"/>
          </w:tcPr>
          <w:p>
            <w:pPr>
              <w:pStyle w:val="27"/>
              <w:shd w:val="clear"/>
              <w:spacing w:line="360" w:lineRule="auto"/>
              <w:jc w:val="center"/>
              <w:rPr>
                <w:rFonts w:hint="eastAsia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highlight w:val="none"/>
                <w:lang w:val="en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周期频率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1-每N日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2-每N周（自然周）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3-每N月（自然月）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4-每N月（运作月）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5-每月（自然月）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6-每N年（自然年）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7-指定月份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8-每季度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9-奇数月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10-偶数月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N值（周期频率）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数字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指定月份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1-第N个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2-前N个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3-指定日期（自然日）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4-指定连续日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5-后N个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6-倒数第N个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7-倒数N个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8-第N个周N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日期类型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1-工作日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2-自然日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N值（类型）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sz w:val="21"/>
                <w:szCs w:val="21"/>
                <w:highlight w:val="none"/>
                <w:lang w:eastAsia="zh-CN"/>
              </w:rPr>
              <w:t>数字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指定日期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起始日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截止日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第N个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周N</w:t>
            </w:r>
          </w:p>
        </w:tc>
        <w:tc>
          <w:tcPr>
            <w:tcW w:w="1300" w:type="dxa"/>
            <w:vAlign w:val="top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  <w:t>下拉单选</w:t>
            </w: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  <w:t>Y</w:t>
            </w:r>
          </w:p>
        </w:tc>
        <w:tc>
          <w:tcPr>
            <w:tcW w:w="36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1-一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2-二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3-三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4-四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5-五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6-六</w:t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 w:themeColor="text1"/>
                <w:kern w:val="0"/>
                <w:sz w:val="21"/>
                <w:szCs w:val="21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7-日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  <w:jc w:val="center"/>
        </w:trPr>
        <w:tc>
          <w:tcPr>
            <w:tcW w:w="17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规则内容</w:t>
            </w:r>
          </w:p>
        </w:tc>
        <w:tc>
          <w:tcPr>
            <w:tcW w:w="1300" w:type="dxa"/>
          </w:tcPr>
          <w:p>
            <w:pPr>
              <w:shd w:val="clear"/>
              <w:spacing w:line="360" w:lineRule="auto"/>
              <w:jc w:val="left"/>
              <w:rPr>
                <w:rFonts w:hint="eastAsia"/>
                <w:b w:val="0"/>
                <w:bCs w:val="0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1117" w:type="dxa"/>
            <w:vAlign w:val="top"/>
          </w:tcPr>
          <w:p>
            <w:pPr>
              <w:shd w:val="clear"/>
              <w:spacing w:line="360" w:lineRule="auto"/>
              <w:jc w:val="center"/>
              <w:rPr>
                <w:rFonts w:hint="eastAsia"/>
                <w:sz w:val="21"/>
                <w:szCs w:val="21"/>
                <w:highlight w:val="none"/>
                <w:lang w:eastAsia="zh-CN"/>
              </w:rPr>
            </w:pPr>
          </w:p>
        </w:tc>
        <w:tc>
          <w:tcPr>
            <w:tcW w:w="3619" w:type="dxa"/>
            <w:vAlign w:val="center"/>
          </w:tcPr>
          <w:p>
            <w:pPr>
              <w:rPr>
                <w:rFonts w:hint="eastAsia"/>
                <w:b w:val="0"/>
                <w:bCs w:val="0"/>
                <w:color w:val="000000" w:themeColor="text1"/>
                <w:sz w:val="21"/>
                <w:szCs w:val="21"/>
                <w:highlight w:val="no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shd w:val="clea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提醒类型管理</w:t>
      </w:r>
    </w:p>
    <w:p>
      <w:pPr>
        <w:pStyle w:val="24"/>
        <w:numPr>
          <w:ilvl w:val="0"/>
          <w:numId w:val="104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操作说明</w:t>
      </w:r>
    </w:p>
    <w:p>
      <w:pPr>
        <w:pStyle w:val="24"/>
        <w:numPr>
          <w:ilvl w:val="0"/>
          <w:numId w:val="105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点击【提醒类型管理】进入功能；</w:t>
      </w:r>
    </w:p>
    <w:p>
      <w:pPr>
        <w:pStyle w:val="24"/>
        <w:numPr>
          <w:ilvl w:val="0"/>
          <w:numId w:val="105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点击“添加”按钮，新增提醒类型记录；</w:t>
      </w:r>
    </w:p>
    <w:p>
      <w:pPr>
        <w:pStyle w:val="24"/>
        <w:numPr>
          <w:ilvl w:val="0"/>
          <w:numId w:val="105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在“提醒类型”列填写提醒类型名称；</w:t>
      </w:r>
    </w:p>
    <w:p>
      <w:pPr>
        <w:pStyle w:val="24"/>
        <w:numPr>
          <w:ilvl w:val="0"/>
          <w:numId w:val="105"/>
        </w:numPr>
        <w:shd w:val="clear"/>
        <w:spacing w:line="360" w:lineRule="auto"/>
        <w:ind w:left="425" w:leftChars="0" w:hanging="425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b w:val="0"/>
          <w:bCs w:val="0"/>
          <w:sz w:val="21"/>
          <w:szCs w:val="22"/>
          <w:highlight w:val="none"/>
          <w:lang w:val="en-US" w:eastAsia="zh-CN"/>
        </w:rPr>
        <w:t>“保存”记录——》“审核”后记录生效。</w:t>
      </w:r>
    </w:p>
    <w:p>
      <w:pPr>
        <w:pStyle w:val="24"/>
        <w:numPr>
          <w:ilvl w:val="0"/>
          <w:numId w:val="104"/>
        </w:numPr>
        <w:shd w:val="clear"/>
        <w:spacing w:line="360" w:lineRule="auto"/>
        <w:ind w:left="0" w:leftChars="0" w:firstLine="400" w:firstLineChars="0"/>
        <w:rPr>
          <w:rStyle w:val="17"/>
          <w:rFonts w:hint="eastAsia"/>
          <w:sz w:val="21"/>
          <w:szCs w:val="22"/>
          <w:highlight w:val="none"/>
          <w:lang w:val="en-US" w:eastAsia="zh-CN"/>
        </w:rPr>
      </w:pPr>
      <w:r>
        <w:rPr>
          <w:rStyle w:val="17"/>
          <w:rFonts w:hint="eastAsia"/>
          <w:sz w:val="21"/>
          <w:szCs w:val="22"/>
          <w:highlight w:val="none"/>
          <w:lang w:val="en-US" w:eastAsia="zh-CN"/>
        </w:rPr>
        <w:t>界面</w:t>
      </w:r>
    </w:p>
    <w:p>
      <w:pPr>
        <w:pStyle w:val="24"/>
        <w:numPr>
          <w:ilvl w:val="0"/>
          <w:numId w:val="0"/>
        </w:numPr>
        <w:shd w:val="clear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09215"/>
            <wp:effectExtent l="0" t="0" r="571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Eras Bk BT">
    <w:altName w:val="Verdana"/>
    <w:panose1 w:val="00000000000000000000"/>
    <w:charset w:val="00"/>
    <w:family w:val="swiss"/>
    <w:pitch w:val="default"/>
    <w:sig w:usb0="00000000" w:usb1="00000000" w:usb2="00000000" w:usb3="00000000" w:csb0="00000011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ope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A0C0D"/>
    <w:multiLevelType w:val="multilevel"/>
    <w:tmpl w:val="1B9A0C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401B188F"/>
    <w:multiLevelType w:val="multilevel"/>
    <w:tmpl w:val="401B188F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5A1E82F1"/>
    <w:multiLevelType w:val="singleLevel"/>
    <w:tmpl w:val="5A1E82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5A1EA61E"/>
    <w:multiLevelType w:val="multilevel"/>
    <w:tmpl w:val="5A1EA61E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">
    <w:nsid w:val="5A2138D9"/>
    <w:multiLevelType w:val="singleLevel"/>
    <w:tmpl w:val="5A2138D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5A213997"/>
    <w:multiLevelType w:val="singleLevel"/>
    <w:tmpl w:val="5A21399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5A213A4B"/>
    <w:multiLevelType w:val="singleLevel"/>
    <w:tmpl w:val="5A213A4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5A213E3B"/>
    <w:multiLevelType w:val="singleLevel"/>
    <w:tmpl w:val="5A213E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5A213EA7"/>
    <w:multiLevelType w:val="singleLevel"/>
    <w:tmpl w:val="5A213EA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5A21418C"/>
    <w:multiLevelType w:val="singleLevel"/>
    <w:tmpl w:val="5A21418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5A2248E7"/>
    <w:multiLevelType w:val="singleLevel"/>
    <w:tmpl w:val="5A2248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5A224C4C"/>
    <w:multiLevelType w:val="singleLevel"/>
    <w:tmpl w:val="5A224C4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5A224D83"/>
    <w:multiLevelType w:val="singleLevel"/>
    <w:tmpl w:val="5A224D8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5A25181F"/>
    <w:multiLevelType w:val="singleLevel"/>
    <w:tmpl w:val="5A25181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5A251837"/>
    <w:multiLevelType w:val="singleLevel"/>
    <w:tmpl w:val="5A25183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5A25184E"/>
    <w:multiLevelType w:val="singleLevel"/>
    <w:tmpl w:val="5A25184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5A251866"/>
    <w:multiLevelType w:val="singleLevel"/>
    <w:tmpl w:val="5A2518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5A251879"/>
    <w:multiLevelType w:val="singleLevel"/>
    <w:tmpl w:val="5A25187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5A251907"/>
    <w:multiLevelType w:val="singleLevel"/>
    <w:tmpl w:val="5A25190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5A25191A"/>
    <w:multiLevelType w:val="singleLevel"/>
    <w:tmpl w:val="5A25191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5A25192E"/>
    <w:multiLevelType w:val="singleLevel"/>
    <w:tmpl w:val="5A25192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5A251943"/>
    <w:multiLevelType w:val="singleLevel"/>
    <w:tmpl w:val="5A25194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5A251959"/>
    <w:multiLevelType w:val="singleLevel"/>
    <w:tmpl w:val="5A2519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>
    <w:nsid w:val="5A25196C"/>
    <w:multiLevelType w:val="singleLevel"/>
    <w:tmpl w:val="5A25196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5A252063"/>
    <w:multiLevelType w:val="singleLevel"/>
    <w:tmpl w:val="5A2520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5A252420"/>
    <w:multiLevelType w:val="singleLevel"/>
    <w:tmpl w:val="5A2524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">
    <w:nsid w:val="5A2539E0"/>
    <w:multiLevelType w:val="singleLevel"/>
    <w:tmpl w:val="5A2539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5A2539F3"/>
    <w:multiLevelType w:val="singleLevel"/>
    <w:tmpl w:val="5A2539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5A253AB2"/>
    <w:multiLevelType w:val="singleLevel"/>
    <w:tmpl w:val="5A253AB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5A267FA2"/>
    <w:multiLevelType w:val="singleLevel"/>
    <w:tmpl w:val="5A267F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5A267FBA"/>
    <w:multiLevelType w:val="singleLevel"/>
    <w:tmpl w:val="5A267FB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5A2680AC"/>
    <w:multiLevelType w:val="singleLevel"/>
    <w:tmpl w:val="5A2680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2">
    <w:nsid w:val="5A268286"/>
    <w:multiLevelType w:val="singleLevel"/>
    <w:tmpl w:val="5A26828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5A2684FC"/>
    <w:multiLevelType w:val="singleLevel"/>
    <w:tmpl w:val="5A2684F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4">
    <w:nsid w:val="5A268509"/>
    <w:multiLevelType w:val="singleLevel"/>
    <w:tmpl w:val="5A26850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5A274EEC"/>
    <w:multiLevelType w:val="singleLevel"/>
    <w:tmpl w:val="5A274EE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6">
    <w:nsid w:val="5A274F47"/>
    <w:multiLevelType w:val="singleLevel"/>
    <w:tmpl w:val="5A274F4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">
    <w:nsid w:val="5A2753ED"/>
    <w:multiLevelType w:val="singleLevel"/>
    <w:tmpl w:val="5A2753E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5A275437"/>
    <w:multiLevelType w:val="singleLevel"/>
    <w:tmpl w:val="5A27543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5A275473"/>
    <w:multiLevelType w:val="singleLevel"/>
    <w:tmpl w:val="5A27547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5A2754AC"/>
    <w:multiLevelType w:val="singleLevel"/>
    <w:tmpl w:val="5A2754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1">
    <w:nsid w:val="5A275689"/>
    <w:multiLevelType w:val="singleLevel"/>
    <w:tmpl w:val="5A2756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2">
    <w:nsid w:val="5A2756C2"/>
    <w:multiLevelType w:val="singleLevel"/>
    <w:tmpl w:val="5A2756C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3">
    <w:nsid w:val="5A2756D1"/>
    <w:multiLevelType w:val="singleLevel"/>
    <w:tmpl w:val="5A2756D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5A275A95"/>
    <w:multiLevelType w:val="singleLevel"/>
    <w:tmpl w:val="5A275A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5">
    <w:nsid w:val="5A275B01"/>
    <w:multiLevelType w:val="singleLevel"/>
    <w:tmpl w:val="5A275B0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6">
    <w:nsid w:val="5A275B42"/>
    <w:multiLevelType w:val="singleLevel"/>
    <w:tmpl w:val="5A275B4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5A278554"/>
    <w:multiLevelType w:val="singleLevel"/>
    <w:tmpl w:val="5A2785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5A28DD7B"/>
    <w:multiLevelType w:val="singleLevel"/>
    <w:tmpl w:val="5A28D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9">
    <w:nsid w:val="5A28DE8E"/>
    <w:multiLevelType w:val="singleLevel"/>
    <w:tmpl w:val="5A28DE8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0">
    <w:nsid w:val="5A28DEDB"/>
    <w:multiLevelType w:val="singleLevel"/>
    <w:tmpl w:val="5A28DED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1">
    <w:nsid w:val="5A28DEEA"/>
    <w:multiLevelType w:val="singleLevel"/>
    <w:tmpl w:val="5A28DE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5A28DF6E"/>
    <w:multiLevelType w:val="singleLevel"/>
    <w:tmpl w:val="5A28DF6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3">
    <w:nsid w:val="5A29323E"/>
    <w:multiLevelType w:val="singleLevel"/>
    <w:tmpl w:val="5A2932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>
    <w:nsid w:val="5A2932C8"/>
    <w:multiLevelType w:val="singleLevel"/>
    <w:tmpl w:val="5A2932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5">
    <w:nsid w:val="5A293DB2"/>
    <w:multiLevelType w:val="singleLevel"/>
    <w:tmpl w:val="5A293DB2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</w:rPr>
    </w:lvl>
  </w:abstractNum>
  <w:abstractNum w:abstractNumId="56">
    <w:nsid w:val="5A293F63"/>
    <w:multiLevelType w:val="singleLevel"/>
    <w:tmpl w:val="5A293F6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5A293F94"/>
    <w:multiLevelType w:val="singleLevel"/>
    <w:tmpl w:val="5A293F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8">
    <w:nsid w:val="5A37339A"/>
    <w:multiLevelType w:val="singleLevel"/>
    <w:tmpl w:val="5A37339A"/>
    <w:lvl w:ilvl="0" w:tentative="0">
      <w:start w:val="1"/>
      <w:numFmt w:val="decimal"/>
      <w:lvlText w:val="%1."/>
      <w:lvlJc w:val="left"/>
    </w:lvl>
  </w:abstractNum>
  <w:abstractNum w:abstractNumId="59">
    <w:nsid w:val="5A3733F4"/>
    <w:multiLevelType w:val="singleLevel"/>
    <w:tmpl w:val="5A3733F4"/>
    <w:lvl w:ilvl="0" w:tentative="0">
      <w:start w:val="1"/>
      <w:numFmt w:val="decimal"/>
      <w:suff w:val="space"/>
      <w:lvlText w:val="%1."/>
      <w:lvlJc w:val="left"/>
    </w:lvl>
  </w:abstractNum>
  <w:abstractNum w:abstractNumId="60">
    <w:nsid w:val="5A373735"/>
    <w:multiLevelType w:val="singleLevel"/>
    <w:tmpl w:val="5A373735"/>
    <w:lvl w:ilvl="0" w:tentative="0">
      <w:start w:val="1"/>
      <w:numFmt w:val="decimal"/>
      <w:suff w:val="space"/>
      <w:lvlText w:val="%1."/>
      <w:lvlJc w:val="left"/>
    </w:lvl>
  </w:abstractNum>
  <w:abstractNum w:abstractNumId="61">
    <w:nsid w:val="5A377EDF"/>
    <w:multiLevelType w:val="singleLevel"/>
    <w:tmpl w:val="5A377EDF"/>
    <w:lvl w:ilvl="0" w:tentative="0">
      <w:start w:val="1"/>
      <w:numFmt w:val="decimal"/>
      <w:suff w:val="space"/>
      <w:lvlText w:val="%1）"/>
      <w:lvlJc w:val="left"/>
    </w:lvl>
  </w:abstractNum>
  <w:abstractNum w:abstractNumId="62">
    <w:nsid w:val="5A4DC89E"/>
    <w:multiLevelType w:val="singleLevel"/>
    <w:tmpl w:val="5A4DC89E"/>
    <w:lvl w:ilvl="0" w:tentative="0">
      <w:start w:val="1"/>
      <w:numFmt w:val="decimal"/>
      <w:suff w:val="nothing"/>
      <w:lvlText w:val="%1）"/>
      <w:lvlJc w:val="left"/>
    </w:lvl>
  </w:abstractNum>
  <w:abstractNum w:abstractNumId="63">
    <w:nsid w:val="5A97DFCB"/>
    <w:multiLevelType w:val="singleLevel"/>
    <w:tmpl w:val="5A97DFC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4">
    <w:nsid w:val="5A97DFFC"/>
    <w:multiLevelType w:val="singleLevel"/>
    <w:tmpl w:val="5A97DFFC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5">
    <w:nsid w:val="5A97E01B"/>
    <w:multiLevelType w:val="singleLevel"/>
    <w:tmpl w:val="5A97E01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6">
    <w:nsid w:val="5A97E02D"/>
    <w:multiLevelType w:val="singleLevel"/>
    <w:tmpl w:val="5A97E02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7">
    <w:nsid w:val="5A97E08D"/>
    <w:multiLevelType w:val="singleLevel"/>
    <w:tmpl w:val="5A97E08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8">
    <w:nsid w:val="5A97E0CB"/>
    <w:multiLevelType w:val="singleLevel"/>
    <w:tmpl w:val="5A97E0C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9">
    <w:nsid w:val="5A97E0DD"/>
    <w:multiLevelType w:val="singleLevel"/>
    <w:tmpl w:val="5A97E0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0">
    <w:nsid w:val="5A97E11D"/>
    <w:multiLevelType w:val="singleLevel"/>
    <w:tmpl w:val="5A97E11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1">
    <w:nsid w:val="5A97E12E"/>
    <w:multiLevelType w:val="singleLevel"/>
    <w:tmpl w:val="5A97E12E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2">
    <w:nsid w:val="5A97E4A9"/>
    <w:multiLevelType w:val="singleLevel"/>
    <w:tmpl w:val="5A97E4A9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3">
    <w:nsid w:val="5A97E4BB"/>
    <w:multiLevelType w:val="singleLevel"/>
    <w:tmpl w:val="5A97E4B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4">
    <w:nsid w:val="5A97E4E3"/>
    <w:multiLevelType w:val="singleLevel"/>
    <w:tmpl w:val="5A97E4E3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5">
    <w:nsid w:val="5A97E5F4"/>
    <w:multiLevelType w:val="singleLevel"/>
    <w:tmpl w:val="5A97E5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6">
    <w:nsid w:val="5A97EB50"/>
    <w:multiLevelType w:val="singleLevel"/>
    <w:tmpl w:val="5A97EB50"/>
    <w:lvl w:ilvl="0" w:tentative="0">
      <w:start w:val="1"/>
      <w:numFmt w:val="upperLetter"/>
      <w:suff w:val="nothing"/>
      <w:lvlText w:val="%1、"/>
      <w:lvlJc w:val="left"/>
    </w:lvl>
  </w:abstractNum>
  <w:abstractNum w:abstractNumId="77">
    <w:nsid w:val="5A97EC49"/>
    <w:multiLevelType w:val="singleLevel"/>
    <w:tmpl w:val="5A97EC4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8">
    <w:nsid w:val="5A97EE51"/>
    <w:multiLevelType w:val="singleLevel"/>
    <w:tmpl w:val="5A97EE5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5A97F0E9"/>
    <w:multiLevelType w:val="singleLevel"/>
    <w:tmpl w:val="5A97F0E9"/>
    <w:lvl w:ilvl="0" w:tentative="0">
      <w:start w:val="1"/>
      <w:numFmt w:val="upperLetter"/>
      <w:suff w:val="nothing"/>
      <w:lvlText w:val="%1、"/>
      <w:lvlJc w:val="left"/>
    </w:lvl>
  </w:abstractNum>
  <w:abstractNum w:abstractNumId="80">
    <w:nsid w:val="5A97F3A4"/>
    <w:multiLevelType w:val="singleLevel"/>
    <w:tmpl w:val="5A97F3A4"/>
    <w:lvl w:ilvl="0" w:tentative="0">
      <w:start w:val="1"/>
      <w:numFmt w:val="decimal"/>
      <w:suff w:val="nothing"/>
      <w:lvlText w:val="%1-"/>
      <w:lvlJc w:val="left"/>
    </w:lvl>
  </w:abstractNum>
  <w:abstractNum w:abstractNumId="81">
    <w:nsid w:val="5A98C645"/>
    <w:multiLevelType w:val="singleLevel"/>
    <w:tmpl w:val="5A98C6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2">
    <w:nsid w:val="5A98C82D"/>
    <w:multiLevelType w:val="singleLevel"/>
    <w:tmpl w:val="5A98C82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3">
    <w:nsid w:val="5A98C93E"/>
    <w:multiLevelType w:val="singleLevel"/>
    <w:tmpl w:val="5A98C93E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84">
    <w:nsid w:val="5A98CA7C"/>
    <w:multiLevelType w:val="singleLevel"/>
    <w:tmpl w:val="5A98CA7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5">
    <w:nsid w:val="5A98CAD7"/>
    <w:multiLevelType w:val="singleLevel"/>
    <w:tmpl w:val="5A98CA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6">
    <w:nsid w:val="5A98F3E4"/>
    <w:multiLevelType w:val="singleLevel"/>
    <w:tmpl w:val="5A98F3E4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87">
    <w:nsid w:val="5A98F41E"/>
    <w:multiLevelType w:val="singleLevel"/>
    <w:tmpl w:val="5A98F4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8">
    <w:nsid w:val="5A98F7D7"/>
    <w:multiLevelType w:val="singleLevel"/>
    <w:tmpl w:val="5A98F7D7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89">
    <w:nsid w:val="5A98F7EA"/>
    <w:multiLevelType w:val="singleLevel"/>
    <w:tmpl w:val="5A98F7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5A98F7FD"/>
    <w:multiLevelType w:val="singleLevel"/>
    <w:tmpl w:val="5A98F7F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5A98F923"/>
    <w:multiLevelType w:val="singleLevel"/>
    <w:tmpl w:val="5A98F923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92">
    <w:nsid w:val="5A98F93F"/>
    <w:multiLevelType w:val="singleLevel"/>
    <w:tmpl w:val="5A98F93F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93">
    <w:nsid w:val="5A98F94F"/>
    <w:multiLevelType w:val="singleLevel"/>
    <w:tmpl w:val="5A98F9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4">
    <w:nsid w:val="5A98FCB8"/>
    <w:multiLevelType w:val="singleLevel"/>
    <w:tmpl w:val="5A98FC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5">
    <w:nsid w:val="5A98FD95"/>
    <w:multiLevelType w:val="singleLevel"/>
    <w:tmpl w:val="5A98FD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6">
    <w:nsid w:val="5A990BD8"/>
    <w:multiLevelType w:val="singleLevel"/>
    <w:tmpl w:val="5A990B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7">
    <w:nsid w:val="5A990C56"/>
    <w:multiLevelType w:val="singleLevel"/>
    <w:tmpl w:val="5A990C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8">
    <w:nsid w:val="5A9CA7AA"/>
    <w:multiLevelType w:val="singleLevel"/>
    <w:tmpl w:val="5A9CA7AA"/>
    <w:lvl w:ilvl="0" w:tentative="0">
      <w:start w:val="1"/>
      <w:numFmt w:val="decimal"/>
      <w:suff w:val="nothing"/>
      <w:lvlText w:val="%1、"/>
      <w:lvlJc w:val="left"/>
    </w:lvl>
  </w:abstractNum>
  <w:abstractNum w:abstractNumId="99">
    <w:nsid w:val="5A9CAE29"/>
    <w:multiLevelType w:val="singleLevel"/>
    <w:tmpl w:val="5A9CAE29"/>
    <w:lvl w:ilvl="0" w:tentative="0">
      <w:start w:val="1"/>
      <w:numFmt w:val="decimal"/>
      <w:suff w:val="nothing"/>
      <w:lvlText w:val="%1、"/>
      <w:lvlJc w:val="left"/>
    </w:lvl>
  </w:abstractNum>
  <w:abstractNum w:abstractNumId="100">
    <w:nsid w:val="5A9CB048"/>
    <w:multiLevelType w:val="singleLevel"/>
    <w:tmpl w:val="5A9CB048"/>
    <w:lvl w:ilvl="0" w:tentative="0">
      <w:start w:val="1"/>
      <w:numFmt w:val="decimal"/>
      <w:suff w:val="nothing"/>
      <w:lvlText w:val="%1、"/>
      <w:lvlJc w:val="left"/>
    </w:lvl>
  </w:abstractNum>
  <w:abstractNum w:abstractNumId="101">
    <w:nsid w:val="5A9CBE78"/>
    <w:multiLevelType w:val="singleLevel"/>
    <w:tmpl w:val="5A9CBE78"/>
    <w:lvl w:ilvl="0" w:tentative="0">
      <w:start w:val="1"/>
      <w:numFmt w:val="decimal"/>
      <w:suff w:val="nothing"/>
      <w:lvlText w:val="%1、"/>
      <w:lvlJc w:val="left"/>
    </w:lvl>
  </w:abstractNum>
  <w:abstractNum w:abstractNumId="102">
    <w:nsid w:val="5A9CBEA9"/>
    <w:multiLevelType w:val="singleLevel"/>
    <w:tmpl w:val="5A9CBEA9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03">
    <w:nsid w:val="69DF4E0D"/>
    <w:multiLevelType w:val="multilevel"/>
    <w:tmpl w:val="69DF4E0D"/>
    <w:lvl w:ilvl="0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4">
    <w:nsid w:val="71046B7D"/>
    <w:multiLevelType w:val="multilevel"/>
    <w:tmpl w:val="71046B7D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04"/>
  </w:num>
  <w:num w:numId="5">
    <w:abstractNumId w:val="24"/>
  </w:num>
  <w:num w:numId="6">
    <w:abstractNumId w:val="25"/>
  </w:num>
  <w:num w:numId="7">
    <w:abstractNumId w:val="55"/>
  </w:num>
  <w:num w:numId="8">
    <w:abstractNumId w:val="28"/>
  </w:num>
  <w:num w:numId="9">
    <w:abstractNumId w:val="26"/>
  </w:num>
  <w:num w:numId="10">
    <w:abstractNumId w:val="27"/>
  </w:num>
  <w:num w:numId="11">
    <w:abstractNumId w:val="31"/>
  </w:num>
  <w:num w:numId="12">
    <w:abstractNumId w:val="30"/>
  </w:num>
  <w:num w:numId="13">
    <w:abstractNumId w:val="29"/>
  </w:num>
  <w:num w:numId="14">
    <w:abstractNumId w:val="32"/>
  </w:num>
  <w:num w:numId="15">
    <w:abstractNumId w:val="5"/>
  </w:num>
  <w:num w:numId="16">
    <w:abstractNumId w:val="103"/>
  </w:num>
  <w:num w:numId="17">
    <w:abstractNumId w:val="1"/>
  </w:num>
  <w:num w:numId="18">
    <w:abstractNumId w:val="6"/>
  </w:num>
  <w:num w:numId="19">
    <w:abstractNumId w:val="2"/>
  </w:num>
  <w:num w:numId="20">
    <w:abstractNumId w:val="7"/>
  </w:num>
  <w:num w:numId="21">
    <w:abstractNumId w:val="8"/>
  </w:num>
  <w:num w:numId="22">
    <w:abstractNumId w:val="9"/>
  </w:num>
  <w:num w:numId="23">
    <w:abstractNumId w:val="10"/>
  </w:num>
  <w:num w:numId="24">
    <w:abstractNumId w:val="11"/>
  </w:num>
  <w:num w:numId="25">
    <w:abstractNumId w:val="12"/>
  </w:num>
  <w:num w:numId="26">
    <w:abstractNumId w:val="13"/>
  </w:num>
  <w:num w:numId="27">
    <w:abstractNumId w:val="14"/>
  </w:num>
  <w:num w:numId="28">
    <w:abstractNumId w:val="15"/>
  </w:num>
  <w:num w:numId="29">
    <w:abstractNumId w:val="16"/>
  </w:num>
  <w:num w:numId="30">
    <w:abstractNumId w:val="17"/>
  </w:num>
  <w:num w:numId="31">
    <w:abstractNumId w:val="18"/>
  </w:num>
  <w:num w:numId="32">
    <w:abstractNumId w:val="19"/>
  </w:num>
  <w:num w:numId="33">
    <w:abstractNumId w:val="20"/>
  </w:num>
  <w:num w:numId="34">
    <w:abstractNumId w:val="21"/>
  </w:num>
  <w:num w:numId="35">
    <w:abstractNumId w:val="22"/>
  </w:num>
  <w:num w:numId="36">
    <w:abstractNumId w:val="23"/>
  </w:num>
  <w:num w:numId="37">
    <w:abstractNumId w:val="33"/>
  </w:num>
  <w:num w:numId="38">
    <w:abstractNumId w:val="34"/>
  </w:num>
  <w:num w:numId="39">
    <w:abstractNumId w:val="47"/>
  </w:num>
  <w:num w:numId="40">
    <w:abstractNumId w:val="35"/>
  </w:num>
  <w:num w:numId="41">
    <w:abstractNumId w:val="36"/>
  </w:num>
  <w:num w:numId="42">
    <w:abstractNumId w:val="37"/>
  </w:num>
  <w:num w:numId="43">
    <w:abstractNumId w:val="53"/>
  </w:num>
  <w:num w:numId="44">
    <w:abstractNumId w:val="54"/>
  </w:num>
  <w:num w:numId="45">
    <w:abstractNumId w:val="38"/>
  </w:num>
  <w:num w:numId="46">
    <w:abstractNumId w:val="56"/>
  </w:num>
  <w:num w:numId="47">
    <w:abstractNumId w:val="39"/>
  </w:num>
  <w:num w:numId="48">
    <w:abstractNumId w:val="40"/>
  </w:num>
  <w:num w:numId="49">
    <w:abstractNumId w:val="57"/>
  </w:num>
  <w:num w:numId="50">
    <w:abstractNumId w:val="41"/>
  </w:num>
  <w:num w:numId="51">
    <w:abstractNumId w:val="42"/>
  </w:num>
  <w:num w:numId="52">
    <w:abstractNumId w:val="43"/>
  </w:num>
  <w:num w:numId="53">
    <w:abstractNumId w:val="44"/>
  </w:num>
  <w:num w:numId="54">
    <w:abstractNumId w:val="48"/>
  </w:num>
  <w:num w:numId="55">
    <w:abstractNumId w:val="45"/>
  </w:num>
  <w:num w:numId="56">
    <w:abstractNumId w:val="46"/>
  </w:num>
  <w:num w:numId="57">
    <w:abstractNumId w:val="49"/>
  </w:num>
  <w:num w:numId="58">
    <w:abstractNumId w:val="50"/>
  </w:num>
  <w:num w:numId="59">
    <w:abstractNumId w:val="51"/>
  </w:num>
  <w:num w:numId="60">
    <w:abstractNumId w:val="52"/>
  </w:num>
  <w:num w:numId="61">
    <w:abstractNumId w:val="58"/>
  </w:num>
  <w:num w:numId="62">
    <w:abstractNumId w:val="59"/>
  </w:num>
  <w:num w:numId="63">
    <w:abstractNumId w:val="60"/>
  </w:num>
  <w:num w:numId="64">
    <w:abstractNumId w:val="61"/>
  </w:num>
  <w:num w:numId="65">
    <w:abstractNumId w:val="62"/>
  </w:num>
  <w:num w:numId="66">
    <w:abstractNumId w:val="63"/>
  </w:num>
  <w:num w:numId="67">
    <w:abstractNumId w:val="86"/>
  </w:num>
  <w:num w:numId="68">
    <w:abstractNumId w:val="81"/>
  </w:num>
  <w:num w:numId="69">
    <w:abstractNumId w:val="82"/>
  </w:num>
  <w:num w:numId="70">
    <w:abstractNumId w:val="83"/>
  </w:num>
  <w:num w:numId="71">
    <w:abstractNumId w:val="84"/>
  </w:num>
  <w:num w:numId="72">
    <w:abstractNumId w:val="85"/>
  </w:num>
  <w:num w:numId="73">
    <w:abstractNumId w:val="65"/>
  </w:num>
  <w:num w:numId="74">
    <w:abstractNumId w:val="91"/>
  </w:num>
  <w:num w:numId="75">
    <w:abstractNumId w:val="87"/>
  </w:num>
  <w:num w:numId="76">
    <w:abstractNumId w:val="64"/>
  </w:num>
  <w:num w:numId="77">
    <w:abstractNumId w:val="88"/>
  </w:num>
  <w:num w:numId="78">
    <w:abstractNumId w:val="89"/>
  </w:num>
  <w:num w:numId="79">
    <w:abstractNumId w:val="90"/>
  </w:num>
  <w:num w:numId="80">
    <w:abstractNumId w:val="66"/>
  </w:num>
  <w:num w:numId="81">
    <w:abstractNumId w:val="92"/>
  </w:num>
  <w:num w:numId="82">
    <w:abstractNumId w:val="93"/>
  </w:num>
  <w:num w:numId="83">
    <w:abstractNumId w:val="67"/>
  </w:num>
  <w:num w:numId="84">
    <w:abstractNumId w:val="76"/>
  </w:num>
  <w:num w:numId="85">
    <w:abstractNumId w:val="77"/>
  </w:num>
  <w:num w:numId="86">
    <w:abstractNumId w:val="78"/>
  </w:num>
  <w:num w:numId="87">
    <w:abstractNumId w:val="79"/>
  </w:num>
  <w:num w:numId="88">
    <w:abstractNumId w:val="80"/>
  </w:num>
  <w:num w:numId="89">
    <w:abstractNumId w:val="68"/>
  </w:num>
  <w:num w:numId="90">
    <w:abstractNumId w:val="96"/>
  </w:num>
  <w:num w:numId="91">
    <w:abstractNumId w:val="69"/>
  </w:num>
  <w:num w:numId="92">
    <w:abstractNumId w:val="98"/>
  </w:num>
  <w:num w:numId="93">
    <w:abstractNumId w:val="99"/>
  </w:num>
  <w:num w:numId="94">
    <w:abstractNumId w:val="100"/>
  </w:num>
  <w:num w:numId="95">
    <w:abstractNumId w:val="70"/>
  </w:num>
  <w:num w:numId="96">
    <w:abstractNumId w:val="97"/>
  </w:num>
  <w:num w:numId="97">
    <w:abstractNumId w:val="71"/>
  </w:num>
  <w:num w:numId="98">
    <w:abstractNumId w:val="101"/>
  </w:num>
  <w:num w:numId="99">
    <w:abstractNumId w:val="102"/>
  </w:num>
  <w:num w:numId="100">
    <w:abstractNumId w:val="72"/>
  </w:num>
  <w:num w:numId="101">
    <w:abstractNumId w:val="94"/>
  </w:num>
  <w:num w:numId="102">
    <w:abstractNumId w:val="73"/>
  </w:num>
  <w:num w:numId="103">
    <w:abstractNumId w:val="95"/>
  </w:num>
  <w:num w:numId="104">
    <w:abstractNumId w:val="74"/>
  </w:num>
  <w:num w:numId="105">
    <w:abstractNumId w:val="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65B"/>
    <w:rsid w:val="0004162C"/>
    <w:rsid w:val="000433EE"/>
    <w:rsid w:val="00047FC4"/>
    <w:rsid w:val="00094798"/>
    <w:rsid w:val="000B6F59"/>
    <w:rsid w:val="0012465B"/>
    <w:rsid w:val="00391EFB"/>
    <w:rsid w:val="003E562D"/>
    <w:rsid w:val="005263A8"/>
    <w:rsid w:val="00821B53"/>
    <w:rsid w:val="00896D94"/>
    <w:rsid w:val="008C70E8"/>
    <w:rsid w:val="00A1645A"/>
    <w:rsid w:val="00A548AD"/>
    <w:rsid w:val="00A97F97"/>
    <w:rsid w:val="00AD5AA8"/>
    <w:rsid w:val="00CD3109"/>
    <w:rsid w:val="00D63A75"/>
    <w:rsid w:val="00F66D72"/>
    <w:rsid w:val="00FE61D5"/>
    <w:rsid w:val="01A519F5"/>
    <w:rsid w:val="025E3387"/>
    <w:rsid w:val="026115F7"/>
    <w:rsid w:val="026A3CBE"/>
    <w:rsid w:val="02AF43B8"/>
    <w:rsid w:val="02F37A49"/>
    <w:rsid w:val="03567933"/>
    <w:rsid w:val="035B38C0"/>
    <w:rsid w:val="035C3A52"/>
    <w:rsid w:val="03616FD1"/>
    <w:rsid w:val="039815BB"/>
    <w:rsid w:val="03AA4D90"/>
    <w:rsid w:val="03B15245"/>
    <w:rsid w:val="03CC7268"/>
    <w:rsid w:val="03D91890"/>
    <w:rsid w:val="04462A2F"/>
    <w:rsid w:val="04652E83"/>
    <w:rsid w:val="051E4291"/>
    <w:rsid w:val="05252890"/>
    <w:rsid w:val="0572511D"/>
    <w:rsid w:val="059B712B"/>
    <w:rsid w:val="06676F72"/>
    <w:rsid w:val="066B3F6F"/>
    <w:rsid w:val="068F4E17"/>
    <w:rsid w:val="07046EBD"/>
    <w:rsid w:val="076A7C75"/>
    <w:rsid w:val="078341D6"/>
    <w:rsid w:val="07CC54C5"/>
    <w:rsid w:val="080235B2"/>
    <w:rsid w:val="081D74BB"/>
    <w:rsid w:val="08434542"/>
    <w:rsid w:val="084B47B3"/>
    <w:rsid w:val="087146F7"/>
    <w:rsid w:val="08D96E46"/>
    <w:rsid w:val="08FB08B4"/>
    <w:rsid w:val="08FD1A0E"/>
    <w:rsid w:val="09020CBA"/>
    <w:rsid w:val="09C57A45"/>
    <w:rsid w:val="09E60432"/>
    <w:rsid w:val="0A5F6929"/>
    <w:rsid w:val="0A6652B9"/>
    <w:rsid w:val="0AB20B62"/>
    <w:rsid w:val="0AE21EF6"/>
    <w:rsid w:val="0B047810"/>
    <w:rsid w:val="0B5A5D57"/>
    <w:rsid w:val="0BB92AEF"/>
    <w:rsid w:val="0BBB34A3"/>
    <w:rsid w:val="0BD96379"/>
    <w:rsid w:val="0BEB4725"/>
    <w:rsid w:val="0C053D30"/>
    <w:rsid w:val="0C240579"/>
    <w:rsid w:val="0C265DAE"/>
    <w:rsid w:val="0C530EFA"/>
    <w:rsid w:val="0C583FD0"/>
    <w:rsid w:val="0C77655F"/>
    <w:rsid w:val="0C9608E0"/>
    <w:rsid w:val="0D073F65"/>
    <w:rsid w:val="0D2F239F"/>
    <w:rsid w:val="0D65449D"/>
    <w:rsid w:val="0DB14A5E"/>
    <w:rsid w:val="0E0007C8"/>
    <w:rsid w:val="0E114FD3"/>
    <w:rsid w:val="0E3514BA"/>
    <w:rsid w:val="0EF50AFA"/>
    <w:rsid w:val="0F0B4715"/>
    <w:rsid w:val="0F5B4FED"/>
    <w:rsid w:val="0F676244"/>
    <w:rsid w:val="0F6C7BFC"/>
    <w:rsid w:val="0F9C3EA9"/>
    <w:rsid w:val="0FAB40B6"/>
    <w:rsid w:val="0FE11A6B"/>
    <w:rsid w:val="0FF73CF0"/>
    <w:rsid w:val="100D552F"/>
    <w:rsid w:val="104658A7"/>
    <w:rsid w:val="105144D6"/>
    <w:rsid w:val="107C0EFF"/>
    <w:rsid w:val="10F3136B"/>
    <w:rsid w:val="10F449BA"/>
    <w:rsid w:val="11171E38"/>
    <w:rsid w:val="11792D4F"/>
    <w:rsid w:val="11964C48"/>
    <w:rsid w:val="121C411A"/>
    <w:rsid w:val="12AD3CE5"/>
    <w:rsid w:val="12D936A9"/>
    <w:rsid w:val="12F45FE4"/>
    <w:rsid w:val="1310320A"/>
    <w:rsid w:val="13261E9E"/>
    <w:rsid w:val="13307EB2"/>
    <w:rsid w:val="13320468"/>
    <w:rsid w:val="13BE345F"/>
    <w:rsid w:val="14042994"/>
    <w:rsid w:val="140B7747"/>
    <w:rsid w:val="141B5CD3"/>
    <w:rsid w:val="144025B8"/>
    <w:rsid w:val="147A6113"/>
    <w:rsid w:val="14E407A3"/>
    <w:rsid w:val="156F020A"/>
    <w:rsid w:val="15A402D7"/>
    <w:rsid w:val="15C6587A"/>
    <w:rsid w:val="161872ED"/>
    <w:rsid w:val="165B35A8"/>
    <w:rsid w:val="165D2652"/>
    <w:rsid w:val="16901246"/>
    <w:rsid w:val="16D053FC"/>
    <w:rsid w:val="171A21BC"/>
    <w:rsid w:val="17B5284C"/>
    <w:rsid w:val="17F601FF"/>
    <w:rsid w:val="185C7764"/>
    <w:rsid w:val="186427F1"/>
    <w:rsid w:val="18EC4B19"/>
    <w:rsid w:val="18F2758D"/>
    <w:rsid w:val="196F4F24"/>
    <w:rsid w:val="196F5153"/>
    <w:rsid w:val="198C10E1"/>
    <w:rsid w:val="19B73379"/>
    <w:rsid w:val="19E7458E"/>
    <w:rsid w:val="1A0476A7"/>
    <w:rsid w:val="1A521A5B"/>
    <w:rsid w:val="1A5E6D1F"/>
    <w:rsid w:val="1A7407A7"/>
    <w:rsid w:val="1A932600"/>
    <w:rsid w:val="1ABE5892"/>
    <w:rsid w:val="1ACD7B26"/>
    <w:rsid w:val="1AD32DFB"/>
    <w:rsid w:val="1B2E48E3"/>
    <w:rsid w:val="1B521D6A"/>
    <w:rsid w:val="1B850D42"/>
    <w:rsid w:val="1BC605C4"/>
    <w:rsid w:val="1C343DD5"/>
    <w:rsid w:val="1C8D0DA0"/>
    <w:rsid w:val="1CCB3C0E"/>
    <w:rsid w:val="1CF20542"/>
    <w:rsid w:val="1CF86FD4"/>
    <w:rsid w:val="1D243CF0"/>
    <w:rsid w:val="1D55291E"/>
    <w:rsid w:val="1D5F0C42"/>
    <w:rsid w:val="1DC21F38"/>
    <w:rsid w:val="1DE50305"/>
    <w:rsid w:val="1DF502C4"/>
    <w:rsid w:val="1E535667"/>
    <w:rsid w:val="1E583653"/>
    <w:rsid w:val="1EA61EDE"/>
    <w:rsid w:val="1EB71AE7"/>
    <w:rsid w:val="1EBA7F6B"/>
    <w:rsid w:val="1ED23351"/>
    <w:rsid w:val="1F151FA8"/>
    <w:rsid w:val="1F451095"/>
    <w:rsid w:val="1F7E30F3"/>
    <w:rsid w:val="1FC03DFB"/>
    <w:rsid w:val="1FFE6F0D"/>
    <w:rsid w:val="20120140"/>
    <w:rsid w:val="20A254D5"/>
    <w:rsid w:val="20C12A36"/>
    <w:rsid w:val="20CB651B"/>
    <w:rsid w:val="210C261C"/>
    <w:rsid w:val="21155335"/>
    <w:rsid w:val="21286174"/>
    <w:rsid w:val="214B16EE"/>
    <w:rsid w:val="214D5A76"/>
    <w:rsid w:val="22521BC6"/>
    <w:rsid w:val="22716062"/>
    <w:rsid w:val="22A51DED"/>
    <w:rsid w:val="22A53931"/>
    <w:rsid w:val="22BD0585"/>
    <w:rsid w:val="23053EDC"/>
    <w:rsid w:val="23141682"/>
    <w:rsid w:val="233D44F0"/>
    <w:rsid w:val="23502418"/>
    <w:rsid w:val="2357546F"/>
    <w:rsid w:val="2358394D"/>
    <w:rsid w:val="235D458F"/>
    <w:rsid w:val="2368738D"/>
    <w:rsid w:val="236D74A0"/>
    <w:rsid w:val="24153DB1"/>
    <w:rsid w:val="242E0A7D"/>
    <w:rsid w:val="24385FC1"/>
    <w:rsid w:val="245F38D8"/>
    <w:rsid w:val="24927A8C"/>
    <w:rsid w:val="24BE6D27"/>
    <w:rsid w:val="24C77F37"/>
    <w:rsid w:val="24FB2221"/>
    <w:rsid w:val="25577ABE"/>
    <w:rsid w:val="25870D99"/>
    <w:rsid w:val="25C9017A"/>
    <w:rsid w:val="25D2529B"/>
    <w:rsid w:val="25F43031"/>
    <w:rsid w:val="25FD49A5"/>
    <w:rsid w:val="261A24A7"/>
    <w:rsid w:val="263D4E71"/>
    <w:rsid w:val="267440ED"/>
    <w:rsid w:val="26745B9A"/>
    <w:rsid w:val="268B5CD6"/>
    <w:rsid w:val="26C76D52"/>
    <w:rsid w:val="26DD3806"/>
    <w:rsid w:val="272801F7"/>
    <w:rsid w:val="2746537A"/>
    <w:rsid w:val="276D2F2D"/>
    <w:rsid w:val="279843EE"/>
    <w:rsid w:val="279D0B56"/>
    <w:rsid w:val="27C73795"/>
    <w:rsid w:val="27DF558D"/>
    <w:rsid w:val="27F43BE4"/>
    <w:rsid w:val="27FB7754"/>
    <w:rsid w:val="28343C5F"/>
    <w:rsid w:val="2848256D"/>
    <w:rsid w:val="28BD6F82"/>
    <w:rsid w:val="2A9C1FA3"/>
    <w:rsid w:val="2AAE17F2"/>
    <w:rsid w:val="2ADB4F82"/>
    <w:rsid w:val="2B3E6F84"/>
    <w:rsid w:val="2B9E0C8E"/>
    <w:rsid w:val="2BB47F8A"/>
    <w:rsid w:val="2BDD25E6"/>
    <w:rsid w:val="2BE55AAE"/>
    <w:rsid w:val="2C062674"/>
    <w:rsid w:val="2C3107A1"/>
    <w:rsid w:val="2C343DA3"/>
    <w:rsid w:val="2C5864FC"/>
    <w:rsid w:val="2C737054"/>
    <w:rsid w:val="2C8F1482"/>
    <w:rsid w:val="2D0B1279"/>
    <w:rsid w:val="2D0F53FE"/>
    <w:rsid w:val="2D7429F0"/>
    <w:rsid w:val="2E0C6749"/>
    <w:rsid w:val="2E571A2E"/>
    <w:rsid w:val="2E6B1912"/>
    <w:rsid w:val="2E8A0FC1"/>
    <w:rsid w:val="2F2D67A3"/>
    <w:rsid w:val="2F354EAE"/>
    <w:rsid w:val="2F3D196A"/>
    <w:rsid w:val="2F514BCC"/>
    <w:rsid w:val="2FB93E9E"/>
    <w:rsid w:val="2FD629C3"/>
    <w:rsid w:val="306671A2"/>
    <w:rsid w:val="308260D0"/>
    <w:rsid w:val="31161529"/>
    <w:rsid w:val="31166AEE"/>
    <w:rsid w:val="317F3040"/>
    <w:rsid w:val="31892412"/>
    <w:rsid w:val="318A152B"/>
    <w:rsid w:val="319B3F25"/>
    <w:rsid w:val="31EA5382"/>
    <w:rsid w:val="32055260"/>
    <w:rsid w:val="322302C0"/>
    <w:rsid w:val="323744D8"/>
    <w:rsid w:val="32406A4F"/>
    <w:rsid w:val="3279520A"/>
    <w:rsid w:val="327E2270"/>
    <w:rsid w:val="328577DE"/>
    <w:rsid w:val="32A12558"/>
    <w:rsid w:val="32C86F12"/>
    <w:rsid w:val="33330B52"/>
    <w:rsid w:val="33E35B97"/>
    <w:rsid w:val="345646EC"/>
    <w:rsid w:val="34586F85"/>
    <w:rsid w:val="34785C2C"/>
    <w:rsid w:val="3493480C"/>
    <w:rsid w:val="35112C5A"/>
    <w:rsid w:val="352F3BB5"/>
    <w:rsid w:val="35A906E6"/>
    <w:rsid w:val="35FF5D56"/>
    <w:rsid w:val="36447515"/>
    <w:rsid w:val="36774AE8"/>
    <w:rsid w:val="36A65D11"/>
    <w:rsid w:val="36DC2038"/>
    <w:rsid w:val="36FC1DF9"/>
    <w:rsid w:val="3758222E"/>
    <w:rsid w:val="378A5B41"/>
    <w:rsid w:val="386B1FDA"/>
    <w:rsid w:val="38AA6F8F"/>
    <w:rsid w:val="3909153F"/>
    <w:rsid w:val="391A1650"/>
    <w:rsid w:val="39953AD3"/>
    <w:rsid w:val="39BF1ABB"/>
    <w:rsid w:val="3A1B762B"/>
    <w:rsid w:val="3A2E5B90"/>
    <w:rsid w:val="3A5A006E"/>
    <w:rsid w:val="3A6A6208"/>
    <w:rsid w:val="3AA82EA2"/>
    <w:rsid w:val="3AB95B03"/>
    <w:rsid w:val="3ABA2126"/>
    <w:rsid w:val="3B6A634F"/>
    <w:rsid w:val="3B814C40"/>
    <w:rsid w:val="3B896740"/>
    <w:rsid w:val="3BAD62DC"/>
    <w:rsid w:val="3BD43A03"/>
    <w:rsid w:val="3C051636"/>
    <w:rsid w:val="3C1B61EC"/>
    <w:rsid w:val="3C21101F"/>
    <w:rsid w:val="3C712326"/>
    <w:rsid w:val="3C87496B"/>
    <w:rsid w:val="3CB02939"/>
    <w:rsid w:val="3CD86AB9"/>
    <w:rsid w:val="3CDA5A3D"/>
    <w:rsid w:val="3CEB025C"/>
    <w:rsid w:val="3D851053"/>
    <w:rsid w:val="3D8E2D45"/>
    <w:rsid w:val="3DAC68E1"/>
    <w:rsid w:val="3DBB0BE2"/>
    <w:rsid w:val="3DD32827"/>
    <w:rsid w:val="3DD4140E"/>
    <w:rsid w:val="3E022C73"/>
    <w:rsid w:val="3E621ED9"/>
    <w:rsid w:val="3E8D4EAD"/>
    <w:rsid w:val="3E9F7EC7"/>
    <w:rsid w:val="3EEB09D5"/>
    <w:rsid w:val="3F150303"/>
    <w:rsid w:val="3F1C2582"/>
    <w:rsid w:val="3F1F7F4E"/>
    <w:rsid w:val="3F6F0C4E"/>
    <w:rsid w:val="3F87189A"/>
    <w:rsid w:val="3FC65A03"/>
    <w:rsid w:val="3FF76011"/>
    <w:rsid w:val="40252C37"/>
    <w:rsid w:val="40400614"/>
    <w:rsid w:val="40560E07"/>
    <w:rsid w:val="40624210"/>
    <w:rsid w:val="4072678A"/>
    <w:rsid w:val="40792035"/>
    <w:rsid w:val="40854652"/>
    <w:rsid w:val="40A53DE7"/>
    <w:rsid w:val="40A638DD"/>
    <w:rsid w:val="40AE6918"/>
    <w:rsid w:val="40D46947"/>
    <w:rsid w:val="40FE2A77"/>
    <w:rsid w:val="411D105A"/>
    <w:rsid w:val="416347C5"/>
    <w:rsid w:val="41707D82"/>
    <w:rsid w:val="41765351"/>
    <w:rsid w:val="41782679"/>
    <w:rsid w:val="41A25A71"/>
    <w:rsid w:val="42071796"/>
    <w:rsid w:val="42130043"/>
    <w:rsid w:val="42191810"/>
    <w:rsid w:val="424955A1"/>
    <w:rsid w:val="426C28C9"/>
    <w:rsid w:val="42743C7B"/>
    <w:rsid w:val="42BD001C"/>
    <w:rsid w:val="432E16F5"/>
    <w:rsid w:val="43402F3D"/>
    <w:rsid w:val="43580764"/>
    <w:rsid w:val="43887F9B"/>
    <w:rsid w:val="43DA4996"/>
    <w:rsid w:val="43F11154"/>
    <w:rsid w:val="43FB2936"/>
    <w:rsid w:val="442165EF"/>
    <w:rsid w:val="44372040"/>
    <w:rsid w:val="450A0F92"/>
    <w:rsid w:val="454A7E4B"/>
    <w:rsid w:val="456A5063"/>
    <w:rsid w:val="45AC44FD"/>
    <w:rsid w:val="45FB358E"/>
    <w:rsid w:val="46005591"/>
    <w:rsid w:val="46417E75"/>
    <w:rsid w:val="46672175"/>
    <w:rsid w:val="46791410"/>
    <w:rsid w:val="468E367B"/>
    <w:rsid w:val="46A753CB"/>
    <w:rsid w:val="46D4410E"/>
    <w:rsid w:val="470C4772"/>
    <w:rsid w:val="47144DD8"/>
    <w:rsid w:val="475E0E8C"/>
    <w:rsid w:val="47775C3D"/>
    <w:rsid w:val="477E6841"/>
    <w:rsid w:val="47EF6816"/>
    <w:rsid w:val="48033041"/>
    <w:rsid w:val="48775402"/>
    <w:rsid w:val="48EF56BF"/>
    <w:rsid w:val="48F25E84"/>
    <w:rsid w:val="4988612F"/>
    <w:rsid w:val="499A7A84"/>
    <w:rsid w:val="49A22744"/>
    <w:rsid w:val="49E9483D"/>
    <w:rsid w:val="49F57F9B"/>
    <w:rsid w:val="4A0557BB"/>
    <w:rsid w:val="4A841F0C"/>
    <w:rsid w:val="4B7239A6"/>
    <w:rsid w:val="4B7E57FB"/>
    <w:rsid w:val="4BFC00CE"/>
    <w:rsid w:val="4C2E54BB"/>
    <w:rsid w:val="4C4A1A9A"/>
    <w:rsid w:val="4C810CA3"/>
    <w:rsid w:val="4C881210"/>
    <w:rsid w:val="4D7559EC"/>
    <w:rsid w:val="4E4F37FB"/>
    <w:rsid w:val="4E6B6EB2"/>
    <w:rsid w:val="4E974706"/>
    <w:rsid w:val="4ED74801"/>
    <w:rsid w:val="4EDD4B4A"/>
    <w:rsid w:val="4EF9755F"/>
    <w:rsid w:val="4F0E3490"/>
    <w:rsid w:val="4F321990"/>
    <w:rsid w:val="4FCA6330"/>
    <w:rsid w:val="4FF37FBA"/>
    <w:rsid w:val="50050C1A"/>
    <w:rsid w:val="502E01A3"/>
    <w:rsid w:val="50382309"/>
    <w:rsid w:val="50B251D7"/>
    <w:rsid w:val="5100651D"/>
    <w:rsid w:val="51221074"/>
    <w:rsid w:val="512A510E"/>
    <w:rsid w:val="520937CB"/>
    <w:rsid w:val="524910B3"/>
    <w:rsid w:val="52964064"/>
    <w:rsid w:val="52BA204E"/>
    <w:rsid w:val="52CE7549"/>
    <w:rsid w:val="534A2837"/>
    <w:rsid w:val="53815256"/>
    <w:rsid w:val="539321BE"/>
    <w:rsid w:val="53D75DA2"/>
    <w:rsid w:val="53E45103"/>
    <w:rsid w:val="541B468B"/>
    <w:rsid w:val="547A3725"/>
    <w:rsid w:val="54A15BC5"/>
    <w:rsid w:val="54BE49BC"/>
    <w:rsid w:val="55051B28"/>
    <w:rsid w:val="553A3249"/>
    <w:rsid w:val="5552005A"/>
    <w:rsid w:val="55806439"/>
    <w:rsid w:val="55A11416"/>
    <w:rsid w:val="55A606E3"/>
    <w:rsid w:val="55B148FB"/>
    <w:rsid w:val="55F10D6B"/>
    <w:rsid w:val="56127A36"/>
    <w:rsid w:val="56146DB3"/>
    <w:rsid w:val="574101B4"/>
    <w:rsid w:val="575A3C1E"/>
    <w:rsid w:val="576D75C1"/>
    <w:rsid w:val="57D40F89"/>
    <w:rsid w:val="5809543E"/>
    <w:rsid w:val="581340AF"/>
    <w:rsid w:val="582D39C1"/>
    <w:rsid w:val="58307BBA"/>
    <w:rsid w:val="58363391"/>
    <w:rsid w:val="586E68D4"/>
    <w:rsid w:val="58AE06B5"/>
    <w:rsid w:val="59352A48"/>
    <w:rsid w:val="59863766"/>
    <w:rsid w:val="59F07F8E"/>
    <w:rsid w:val="5A10556C"/>
    <w:rsid w:val="5A85266E"/>
    <w:rsid w:val="5AE2700F"/>
    <w:rsid w:val="5AE51242"/>
    <w:rsid w:val="5AF55AC5"/>
    <w:rsid w:val="5B1E5E13"/>
    <w:rsid w:val="5B712E6C"/>
    <w:rsid w:val="5C3D3B72"/>
    <w:rsid w:val="5CAC1C01"/>
    <w:rsid w:val="5CAC74A3"/>
    <w:rsid w:val="5CB646BB"/>
    <w:rsid w:val="5CC36656"/>
    <w:rsid w:val="5D0826BD"/>
    <w:rsid w:val="5DC47D5F"/>
    <w:rsid w:val="5DF70663"/>
    <w:rsid w:val="5E8B2FC1"/>
    <w:rsid w:val="5EA66880"/>
    <w:rsid w:val="5EED31E8"/>
    <w:rsid w:val="5EFA4E74"/>
    <w:rsid w:val="5F3F09EC"/>
    <w:rsid w:val="5F5D41CF"/>
    <w:rsid w:val="5F647121"/>
    <w:rsid w:val="5F6F2B40"/>
    <w:rsid w:val="5F8F4F93"/>
    <w:rsid w:val="5FA355C1"/>
    <w:rsid w:val="5FE2394F"/>
    <w:rsid w:val="60254A6F"/>
    <w:rsid w:val="6036086D"/>
    <w:rsid w:val="605149E3"/>
    <w:rsid w:val="60897B75"/>
    <w:rsid w:val="60C47CC1"/>
    <w:rsid w:val="60C80E5A"/>
    <w:rsid w:val="60CB5F14"/>
    <w:rsid w:val="60F128EF"/>
    <w:rsid w:val="60FC425C"/>
    <w:rsid w:val="612C7B1C"/>
    <w:rsid w:val="61836486"/>
    <w:rsid w:val="6212624A"/>
    <w:rsid w:val="623E494F"/>
    <w:rsid w:val="62440F48"/>
    <w:rsid w:val="627132A9"/>
    <w:rsid w:val="630461D6"/>
    <w:rsid w:val="63230EA2"/>
    <w:rsid w:val="63A818B8"/>
    <w:rsid w:val="63B5620B"/>
    <w:rsid w:val="63BA7A60"/>
    <w:rsid w:val="63D81237"/>
    <w:rsid w:val="63F978E7"/>
    <w:rsid w:val="64263FB7"/>
    <w:rsid w:val="64416E1A"/>
    <w:rsid w:val="644709AB"/>
    <w:rsid w:val="645246A6"/>
    <w:rsid w:val="6466741C"/>
    <w:rsid w:val="648D58B7"/>
    <w:rsid w:val="653346F2"/>
    <w:rsid w:val="654405BF"/>
    <w:rsid w:val="65BD06A2"/>
    <w:rsid w:val="660936C0"/>
    <w:rsid w:val="66217500"/>
    <w:rsid w:val="664D03A7"/>
    <w:rsid w:val="665F7EDE"/>
    <w:rsid w:val="670228E6"/>
    <w:rsid w:val="67192D3F"/>
    <w:rsid w:val="672523D5"/>
    <w:rsid w:val="67457282"/>
    <w:rsid w:val="67570A04"/>
    <w:rsid w:val="67671981"/>
    <w:rsid w:val="688035A6"/>
    <w:rsid w:val="68C82049"/>
    <w:rsid w:val="68E60004"/>
    <w:rsid w:val="68F56700"/>
    <w:rsid w:val="68F975F3"/>
    <w:rsid w:val="690020D2"/>
    <w:rsid w:val="690500AE"/>
    <w:rsid w:val="692D52D4"/>
    <w:rsid w:val="693A323E"/>
    <w:rsid w:val="693D1BC1"/>
    <w:rsid w:val="697E2DB2"/>
    <w:rsid w:val="699D107A"/>
    <w:rsid w:val="69B71A7F"/>
    <w:rsid w:val="6A081AD5"/>
    <w:rsid w:val="6A7844A7"/>
    <w:rsid w:val="6AD6160A"/>
    <w:rsid w:val="6B01493D"/>
    <w:rsid w:val="6B8664DC"/>
    <w:rsid w:val="6BF65F49"/>
    <w:rsid w:val="6C1154B8"/>
    <w:rsid w:val="6C286721"/>
    <w:rsid w:val="6C7A43EF"/>
    <w:rsid w:val="6C8F547D"/>
    <w:rsid w:val="6CC85248"/>
    <w:rsid w:val="6D4A52F4"/>
    <w:rsid w:val="6D4E4546"/>
    <w:rsid w:val="6D6637DE"/>
    <w:rsid w:val="6D7B2113"/>
    <w:rsid w:val="6D837565"/>
    <w:rsid w:val="6D886A71"/>
    <w:rsid w:val="6DF2321A"/>
    <w:rsid w:val="6DFA01B7"/>
    <w:rsid w:val="6DFD1279"/>
    <w:rsid w:val="6E11403E"/>
    <w:rsid w:val="6E6A6915"/>
    <w:rsid w:val="6EC4390A"/>
    <w:rsid w:val="6EE145BA"/>
    <w:rsid w:val="6F882C46"/>
    <w:rsid w:val="6FA30964"/>
    <w:rsid w:val="6FFE02AE"/>
    <w:rsid w:val="70356D24"/>
    <w:rsid w:val="704E676C"/>
    <w:rsid w:val="70643E06"/>
    <w:rsid w:val="70A06809"/>
    <w:rsid w:val="71041BCB"/>
    <w:rsid w:val="710B530E"/>
    <w:rsid w:val="71183C69"/>
    <w:rsid w:val="712103AF"/>
    <w:rsid w:val="71380986"/>
    <w:rsid w:val="714B4AF6"/>
    <w:rsid w:val="715838B7"/>
    <w:rsid w:val="71644D26"/>
    <w:rsid w:val="71873003"/>
    <w:rsid w:val="71B95116"/>
    <w:rsid w:val="71F50471"/>
    <w:rsid w:val="721F3672"/>
    <w:rsid w:val="72243601"/>
    <w:rsid w:val="724E1700"/>
    <w:rsid w:val="72667059"/>
    <w:rsid w:val="72C2405A"/>
    <w:rsid w:val="72E00C2B"/>
    <w:rsid w:val="73450579"/>
    <w:rsid w:val="73A60C89"/>
    <w:rsid w:val="744A789D"/>
    <w:rsid w:val="744F7C6C"/>
    <w:rsid w:val="74EB3B60"/>
    <w:rsid w:val="75165DB8"/>
    <w:rsid w:val="75314677"/>
    <w:rsid w:val="753A1FA1"/>
    <w:rsid w:val="756A2A92"/>
    <w:rsid w:val="760874E2"/>
    <w:rsid w:val="760E211E"/>
    <w:rsid w:val="766067FE"/>
    <w:rsid w:val="76F762E0"/>
    <w:rsid w:val="770D1360"/>
    <w:rsid w:val="770F10F1"/>
    <w:rsid w:val="771A7FC8"/>
    <w:rsid w:val="773539BC"/>
    <w:rsid w:val="77CB10FA"/>
    <w:rsid w:val="77FC0EA8"/>
    <w:rsid w:val="78380A32"/>
    <w:rsid w:val="785C4BA5"/>
    <w:rsid w:val="78C320FA"/>
    <w:rsid w:val="79002E47"/>
    <w:rsid w:val="7911660C"/>
    <w:rsid w:val="79944CF1"/>
    <w:rsid w:val="7A393668"/>
    <w:rsid w:val="7A5A6ED6"/>
    <w:rsid w:val="7A612FFA"/>
    <w:rsid w:val="7A9C767F"/>
    <w:rsid w:val="7A9E174E"/>
    <w:rsid w:val="7AF61481"/>
    <w:rsid w:val="7B12525B"/>
    <w:rsid w:val="7B182612"/>
    <w:rsid w:val="7B90433E"/>
    <w:rsid w:val="7BD16BFB"/>
    <w:rsid w:val="7C734AF2"/>
    <w:rsid w:val="7CBE63A3"/>
    <w:rsid w:val="7DA01062"/>
    <w:rsid w:val="7E105322"/>
    <w:rsid w:val="7E2C3164"/>
    <w:rsid w:val="7E6D1239"/>
    <w:rsid w:val="7E77148C"/>
    <w:rsid w:val="7E83424C"/>
    <w:rsid w:val="7E872BE6"/>
    <w:rsid w:val="7E87765A"/>
    <w:rsid w:val="7E8F1DB2"/>
    <w:rsid w:val="7ED9401F"/>
    <w:rsid w:val="7F0D639A"/>
    <w:rsid w:val="7F123C1F"/>
    <w:rsid w:val="7F1A4649"/>
    <w:rsid w:val="7F5915F2"/>
    <w:rsid w:val="7F6B0F44"/>
    <w:rsid w:val="7F81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pageBreakBefore/>
      <w:widowControl w:val="0"/>
      <w:numPr>
        <w:ilvl w:val="0"/>
        <w:numId w:val="1"/>
      </w:numPr>
      <w:tabs>
        <w:tab w:val="left" w:pos="425"/>
      </w:tabs>
      <w:spacing w:after="240" w:line="579" w:lineRule="auto"/>
      <w:ind w:left="431" w:hanging="431"/>
      <w:outlineLvl w:val="0"/>
    </w:pPr>
    <w:rPr>
      <w:rFonts w:asciiTheme="minorAscii" w:hAnsiTheme="minorAsci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numPr>
        <w:ilvl w:val="1"/>
        <w:numId w:val="1"/>
      </w:numPr>
      <w:tabs>
        <w:tab w:val="left" w:pos="567"/>
      </w:tabs>
      <w:spacing w:before="140" w:after="260" w:line="416" w:lineRule="auto"/>
      <w:ind w:left="783" w:leftChars="100" w:hanging="573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numPr>
        <w:ilvl w:val="2"/>
        <w:numId w:val="1"/>
      </w:numPr>
      <w:tabs>
        <w:tab w:val="left" w:pos="709"/>
      </w:tabs>
      <w:spacing w:before="260" w:after="260" w:line="416" w:lineRule="auto"/>
      <w:ind w:left="1140" w:leftChars="200" w:hanging="720"/>
      <w:outlineLvl w:val="2"/>
    </w:pPr>
    <w:rPr>
      <w:rFonts w:asciiTheme="minorAscii" w:hAnsiTheme="minorAscii"/>
      <w:b/>
      <w:bCs/>
      <w:sz w:val="24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tabs>
        <w:tab w:val="left" w:pos="1986"/>
      </w:tabs>
      <w:spacing w:before="260" w:beforeLines="0" w:beforeAutospacing="0" w:after="260" w:afterLines="0" w:afterAutospacing="0" w:line="360" w:lineRule="auto"/>
      <w:ind w:left="420" w:leftChars="200" w:firstLine="880" w:firstLineChars="200"/>
      <w:jc w:val="both"/>
      <w:outlineLvl w:val="3"/>
    </w:pPr>
    <w:rPr>
      <w:rFonts w:ascii="Arial" w:hAnsi="Arial" w:eastAsia="宋体"/>
      <w:b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tabs>
        <w:tab w:val="left" w:pos="992"/>
      </w:tabs>
      <w:spacing w:before="280" w:beforeLines="0" w:beforeAutospacing="0" w:after="290" w:afterLines="0" w:afterAutospacing="0" w:line="240" w:lineRule="auto"/>
      <w:ind w:left="1008" w:hanging="1008"/>
      <w:outlineLvl w:val="4"/>
    </w:pPr>
    <w:rPr>
      <w:rFonts w:asciiTheme="minorAscii" w:hAnsiTheme="minorAscii"/>
      <w:b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spacing w:before="152" w:beforeLines="0" w:beforeAutospacing="0" w:after="160" w:afterLines="0" w:afterAutospacing="0"/>
    </w:pPr>
    <w:rPr>
      <w:rFonts w:ascii="Arial" w:hAnsi="Arial" w:eastAsia="黑体"/>
      <w:sz w:val="20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Date"/>
    <w:basedOn w:val="1"/>
    <w:next w:val="1"/>
    <w:link w:val="23"/>
    <w:unhideWhenUsed/>
    <w:qFormat/>
    <w:uiPriority w:val="99"/>
    <w:pPr>
      <w:ind w:left="100" w:leftChars="2500"/>
    </w:p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7">
    <w:name w:val="Strong"/>
    <w:qFormat/>
    <w:uiPriority w:val="22"/>
    <w:rPr>
      <w:b/>
      <w:bCs/>
    </w:rPr>
  </w:style>
  <w:style w:type="character" w:styleId="18">
    <w:name w:val="FollowedHyperlink"/>
    <w:basedOn w:val="16"/>
    <w:unhideWhenUsed/>
    <w:qFormat/>
    <w:uiPriority w:val="99"/>
    <w:rPr>
      <w:color w:val="800080"/>
      <w:u w:val="single"/>
    </w:rPr>
  </w:style>
  <w:style w:type="character" w:styleId="19">
    <w:name w:val="Hyperlink"/>
    <w:basedOn w:val="16"/>
    <w:unhideWhenUsed/>
    <w:qFormat/>
    <w:uiPriority w:val="99"/>
    <w:rPr>
      <w:color w:val="0000FF"/>
      <w:u w:val="single"/>
    </w:rPr>
  </w:style>
  <w:style w:type="table" w:styleId="21">
    <w:name w:val="Table Grid"/>
    <w:basedOn w:val="20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2">
    <w:name w:val="标题 1 Char"/>
    <w:basedOn w:val="16"/>
    <w:link w:val="2"/>
    <w:qFormat/>
    <w:uiPriority w:val="9"/>
    <w:rPr>
      <w:rFonts w:asciiTheme="minorAscii" w:hAnsiTheme="minorAscii" w:eastAsiaTheme="minorEastAsia"/>
      <w:b/>
      <w:bCs/>
      <w:kern w:val="44"/>
      <w:sz w:val="44"/>
      <w:szCs w:val="44"/>
    </w:rPr>
  </w:style>
  <w:style w:type="character" w:customStyle="1" w:styleId="23">
    <w:name w:val="日期 Char"/>
    <w:basedOn w:val="16"/>
    <w:link w:val="13"/>
    <w:semiHidden/>
    <w:qFormat/>
    <w:uiPriority w:val="99"/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2 Char"/>
    <w:basedOn w:val="16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character" w:customStyle="1" w:styleId="26">
    <w:name w:val="标题 3 Char"/>
    <w:basedOn w:val="16"/>
    <w:link w:val="4"/>
    <w:qFormat/>
    <w:uiPriority w:val="9"/>
    <w:rPr>
      <w:rFonts w:asciiTheme="minorAscii" w:hAnsiTheme="minorAscii" w:eastAsiaTheme="minorEastAsia"/>
      <w:b/>
      <w:bCs/>
      <w:sz w:val="24"/>
      <w:szCs w:val="32"/>
    </w:rPr>
  </w:style>
  <w:style w:type="paragraph" w:customStyle="1" w:styleId="27">
    <w:name w:val="pregtext1"/>
    <w:basedOn w:val="1"/>
    <w:qFormat/>
    <w:uiPriority w:val="0"/>
    <w:pPr>
      <w:widowControl/>
      <w:spacing w:before="100" w:beforeLines="0" w:beforeAutospacing="1" w:after="100" w:afterLines="0" w:afterAutospacing="1" w:line="240" w:lineRule="auto"/>
      <w:jc w:val="left"/>
    </w:pPr>
    <w:rPr>
      <w:rFonts w:ascii="宋体" w:hAnsi="宋体" w:cs="宋体"/>
      <w:kern w:val="0"/>
    </w:rPr>
  </w:style>
  <w:style w:type="character" w:customStyle="1" w:styleId="28">
    <w:name w:val="font11"/>
    <w:basedOn w:val="16"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  <w:style w:type="character" w:customStyle="1" w:styleId="29">
    <w:name w:val="font01"/>
    <w:basedOn w:val="16"/>
    <w:qFormat/>
    <w:uiPriority w:val="0"/>
    <w:rPr>
      <w:rFonts w:hint="eastAsia" w:ascii="宋体" w:hAnsi="宋体" w:eastAsia="宋体" w:cs="宋体"/>
      <w:color w:val="FF0000"/>
      <w:sz w:val="24"/>
      <w:szCs w:val="24"/>
      <w:u w:val="none"/>
    </w:rPr>
  </w:style>
  <w:style w:type="paragraph" w:customStyle="1" w:styleId="30">
    <w:name w:val="p0"/>
    <w:basedOn w:val="1"/>
    <w:qFormat/>
    <w:uiPriority w:val="0"/>
    <w:pPr>
      <w:widowControl/>
    </w:pPr>
    <w:rPr>
      <w:kern w:val="0"/>
      <w:szCs w:val="21"/>
    </w:rPr>
  </w:style>
  <w:style w:type="character" w:customStyle="1" w:styleId="31">
    <w:name w:val="font41"/>
    <w:basedOn w:val="16"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  <w:style w:type="character" w:customStyle="1" w:styleId="32">
    <w:name w:val="font31"/>
    <w:basedOn w:val="16"/>
    <w:qFormat/>
    <w:uiPriority w:val="0"/>
    <w:rPr>
      <w:rFonts w:hint="eastAsia" w:ascii="宋体" w:hAnsi="宋体" w:eastAsia="宋体" w:cs="宋体"/>
      <w:b/>
      <w:color w:val="000000"/>
      <w:sz w:val="22"/>
      <w:szCs w:val="22"/>
      <w:u w:val="none"/>
    </w:rPr>
  </w:style>
  <w:style w:type="character" w:customStyle="1" w:styleId="33">
    <w:name w:val="font21"/>
    <w:basedOn w:val="16"/>
    <w:qFormat/>
    <w:uiPriority w:val="0"/>
    <w:rPr>
      <w:rFonts w:hint="eastAsia" w:ascii="宋体" w:hAnsi="宋体" w:eastAsia="宋体" w:cs="宋体"/>
      <w:color w:val="FF0000"/>
      <w:sz w:val="24"/>
      <w:szCs w:val="24"/>
      <w:u w:val="none"/>
    </w:rPr>
  </w:style>
  <w:style w:type="paragraph" w:customStyle="1" w:styleId="3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6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glossaryDocument" Target="glossary/document.xml"/><Relationship Id="rId96" Type="http://schemas.openxmlformats.org/officeDocument/2006/relationships/fontTable" Target="fontTable.xml"/><Relationship Id="rId95" Type="http://schemas.openxmlformats.org/officeDocument/2006/relationships/customXml" Target="../customXml/item2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NULL" TargetMode="Externa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ae68273-e267-40db-8fae-eeeaeebc2c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e68273-e267-40db-8fae-eeeaeebc2c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8f0532-54b7-4050-aabf-ed03283ce2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8f0532-54b7-4050-aabf-ed03283ce2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a5af0a-6d98-4f74-bc17-7d00b21fb1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a5af0a-6d98-4f74-bc17-7d00b21fb1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1f92ed-c0ee-4370-8835-93d9499243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1f92ed-c0ee-4370-8835-93d9499243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2cdf2e-18dc-4225-82de-2665286dd4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2cdf2e-18dc-4225-82de-2665286dd4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b06b98-0897-4bf1-a620-f6d948d546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b06b98-0897-4bf1-a620-f6d948d546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1ac4b3-9b6d-4735-922f-80a6581235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1ac4b3-9b6d-4735-922f-80a6581235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4c74cf-8cc4-4fd1-b75e-5312515bc0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4c74cf-8cc4-4fd1-b75e-5312515bc0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409196-a4bf-4e0f-852a-32f479c722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409196-a4bf-4e0f-852a-32f479c722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0ca072-5bc7-453d-b5da-d94e410024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0ca072-5bc7-453d-b5da-d94e410024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bffdab-1ec4-4c90-8186-11a0a4310e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bffdab-1ec4-4c90-8186-11a0a4310e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d66071-6274-4f36-b41a-4ded868a38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d66071-6274-4f36-b41a-4ded868a38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08fdbc-e130-41b3-8d34-a8c4a5cd09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08fdbc-e130-41b3-8d34-a8c4a5cd09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a7dff2-73f2-48d9-82f6-fafc215565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a7dff2-73f2-48d9-82f6-fafc215565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d3e56e-74b7-4592-a2b5-a245f19890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d3e56e-74b7-4592-a2b5-a245f19890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3d0ce9-4731-48d3-9e61-96a4b63b47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3d0ce9-4731-48d3-9e61-96a4b63b47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43e406-c1e8-4586-89a1-5bf10acc65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43e406-c1e8-4586-89a1-5bf10acc65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1dcd95-ffbf-4288-85d0-d230c77dc2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1dcd95-ffbf-4288-85d0-d230c77dc2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e9ea23-3684-4a5e-94da-b307b62f38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e9ea23-3684-4a5e-94da-b307b62f38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b0ace7-ab03-4417-b1f3-b88a09d52c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b0ace7-ab03-4417-b1f3-b88a09d52c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6c6693-153d-4e4c-be07-543462265a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6c6693-153d-4e4c-be07-543462265a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c56180-e0a1-462a-83c4-6948e1304e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c56180-e0a1-462a-83c4-6948e1304e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dba8b8-43d7-451a-80a7-1d9b96bb74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dba8b8-43d7-451a-80a7-1d9b96bb74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f87309-c36d-4584-afa6-60d155d2b5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f87309-c36d-4584-afa6-60d155d2b5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35e775-3529-47f4-a0b4-4fdcaa2aed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35e775-3529-47f4-a0b4-4fdcaa2aed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652d0d-5120-4610-9d6b-60b6849ca6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652d0d-5120-4610-9d6b-60b6849ca6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8abfab-1495-44a0-ab58-df9868d829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8abfab-1495-44a0-ab58-df9868d829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dbd824-6770-46a2-9068-c1c4ae1bac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dbd824-6770-46a2-9068-c1c4ae1bac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3a331f-aad6-461c-a7b9-52d7aac912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3a331f-aad6-461c-a7b9-52d7aac912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91589e-01fa-4605-90e7-a93ca78fd2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91589e-01fa-4605-90e7-a93ca78fd2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7382b8-1b64-48c7-831c-ea861175cb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7382b8-1b64-48c7-831c-ea861175cb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7f7a30-0be8-48f2-a512-33c23e0ea6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7f7a30-0be8-48f2-a512-33c23e0ea6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d408f2-392e-474a-96b8-ca07989060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d408f2-392e-474a-96b8-ca07989060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72f8dc-0f83-4a86-af04-3e293b19ea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72f8dc-0f83-4a86-af04-3e293b19ea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bed039-e857-4470-bbb9-ef5b85d078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bed039-e857-4470-bbb9-ef5b85d078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ca802b-fba2-4aaf-9ebc-c8d16277df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ca802b-fba2-4aaf-9ebc-c8d16277df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d12467-1369-45cc-87da-91006b1287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d12467-1369-45cc-87da-91006b1287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d08b20-ec7e-48a3-b506-7b101947c6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d08b20-ec7e-48a3-b506-7b101947c6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1b8d0f-46b3-4276-8153-5fb769989d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1b8d0f-46b3-4276-8153-5fb769989d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85a94e-4d77-441f-b1a1-58c0e80b80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85a94e-4d77-441f-b1a1-58c0e80b80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09913e-111c-44ee-82e1-0e700ce90c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09913e-111c-44ee-82e1-0e700ce90c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b22854-2083-471a-ad0f-db4943df3f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b22854-2083-471a-ad0f-db4943df3f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0dbd32-4b0f-4454-b39b-94836410cc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0dbd32-4b0f-4454-b39b-94836410cc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1d741b-3698-4460-b73f-365dd42411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1d741b-3698-4460-b73f-365dd42411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5c44b8-3f19-44bd-952d-9f6d9f9ca6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5c44b8-3f19-44bd-952d-9f6d9f9ca6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d19ab0-b5d7-4b4f-90ff-3e985d06d5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d19ab0-b5d7-4b4f-90ff-3e985d06d5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3ad5c5-0b67-4a81-b110-11ae8b1376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3ad5c5-0b67-4a81-b110-11ae8b1376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9100d0-f00c-4533-9f81-4a2401fa2f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9100d0-f00c-4533-9f81-4a2401fa2f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e2f4cd-dd51-48c5-af61-7529ea04fb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e2f4cd-dd51-48c5-af61-7529ea04fb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65f3d5-2b22-4003-ae45-8709609643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65f3d5-2b22-4003-ae45-8709609643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6b65f2-2b53-499e-b4dd-a14b55ad9a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6b65f2-2b53-499e-b4dd-a14b55ad9a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083c7c-a88b-4b3c-b87e-f0c9ed1337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083c7c-a88b-4b3c-b87e-f0c9ed1337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146524-a143-4ae5-972d-3dc52b2f7e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146524-a143-4ae5-972d-3dc52b2f7e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1ffb06-36e1-4b0f-a1c5-2b3cb15172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1ffb06-36e1-4b0f-a1c5-2b3cb15172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bb88f9-486e-4318-80b0-2530983b7b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bb88f9-486e-4318-80b0-2530983b7b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ba76e1-540f-45e0-920b-fc1bdaf2a4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ba76e1-540f-45e0-920b-fc1bdaf2a4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241950-49aa-47c8-b1d9-2855a16075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241950-49aa-47c8-b1d9-2855a16075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a55fe7-6375-478e-9433-f249844fce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a55fe7-6375-478e-9433-f249844fce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df9f11-244b-4eb4-9467-d18b05787b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df9f11-244b-4eb4-9467-d18b05787b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614507-C7FE-4684-A0ED-87CAC94F90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6</Pages>
  <Words>74</Words>
  <Characters>422</Characters>
  <Lines>3</Lines>
  <Paragraphs>1</Paragraphs>
  <ScaleCrop>false</ScaleCrop>
  <LinksUpToDate>false</LinksUpToDate>
  <CharactersWithSpaces>495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2017-11-23T11:22:00Z</dcterms:created>
  <dc:creator>Admin</dc:creator>
  <cp:lastModifiedBy>黄超宇</cp:lastModifiedBy>
  <dcterms:modified xsi:type="dcterms:W3CDTF">2018-03-05T05:22:43Z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